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5E94" w:rsidRDefault="00AA21AD">
      <w:pPr>
        <w:spacing w:after="482" w:line="259" w:lineRule="auto"/>
        <w:ind w:left="1126" w:right="0" w:firstLine="0"/>
        <w:jc w:val="center"/>
      </w:pPr>
      <w:bookmarkStart w:id="0" w:name="_GoBack"/>
      <w:bookmarkEnd w:id="0"/>
      <w:r>
        <w:rPr>
          <w:rFonts w:ascii="Calibri" w:eastAsia="Calibri" w:hAnsi="Calibri" w:cs="Calibri"/>
        </w:rPr>
        <w:t xml:space="preserve"> </w:t>
      </w:r>
    </w:p>
    <w:p w:rsidR="00C25E94" w:rsidRDefault="00AA21AD">
      <w:pPr>
        <w:spacing w:after="0" w:line="259" w:lineRule="auto"/>
        <w:ind w:left="1080" w:right="0" w:firstLine="0"/>
        <w:jc w:val="left"/>
      </w:pPr>
      <w:r>
        <w:rPr>
          <w:i/>
          <w:sz w:val="28"/>
        </w:rPr>
        <w:t xml:space="preserve">SWFT 2018 Corporations, Partnerships, Estates and Trusts  </w:t>
      </w:r>
    </w:p>
    <w:p w:rsidR="00C25E94" w:rsidRDefault="00AA21AD">
      <w:pPr>
        <w:spacing w:after="0" w:line="259" w:lineRule="auto"/>
        <w:ind w:left="1075" w:right="0" w:hanging="10"/>
        <w:jc w:val="left"/>
      </w:pPr>
      <w:r>
        <w:rPr>
          <w:sz w:val="28"/>
        </w:rPr>
        <w:t xml:space="preserve">Chapter 3: Corporations: Special Situations </w:t>
      </w:r>
    </w:p>
    <w:p w:rsidR="00C25E94" w:rsidRDefault="00AA21AD">
      <w:pPr>
        <w:spacing w:after="0" w:line="259" w:lineRule="auto"/>
        <w:ind w:left="1075" w:right="0" w:hanging="10"/>
        <w:jc w:val="left"/>
      </w:pPr>
      <w:r>
        <w:rPr>
          <w:sz w:val="28"/>
        </w:rPr>
        <w:t>End-of-Chapter Question, Exercise, and Problem Correlations</w:t>
      </w:r>
      <w:r>
        <w:t xml:space="preserve"> </w:t>
      </w:r>
    </w:p>
    <w:p w:rsidR="00C25E94" w:rsidRDefault="00AA21AD">
      <w:pPr>
        <w:spacing w:after="0" w:line="259" w:lineRule="auto"/>
        <w:ind w:left="1080" w:right="0" w:firstLine="0"/>
        <w:jc w:val="left"/>
      </w:pPr>
      <w:r>
        <w:rPr>
          <w:sz w:val="28"/>
        </w:rPr>
        <w:t xml:space="preserve"> </w:t>
      </w:r>
    </w:p>
    <w:tbl>
      <w:tblPr>
        <w:tblStyle w:val="TableGrid"/>
        <w:tblW w:w="9718" w:type="dxa"/>
        <w:tblInd w:w="1081" w:type="dxa"/>
        <w:tblCellMar>
          <w:top w:w="84" w:type="dxa"/>
          <w:left w:w="107" w:type="dxa"/>
          <w:bottom w:w="0" w:type="dxa"/>
          <w:right w:w="63" w:type="dxa"/>
        </w:tblCellMar>
        <w:tblLook w:val="04A0" w:firstRow="1" w:lastRow="0" w:firstColumn="1" w:lastColumn="0" w:noHBand="0" w:noVBand="1"/>
      </w:tblPr>
      <w:tblGrid>
        <w:gridCol w:w="2154"/>
        <w:gridCol w:w="2070"/>
        <w:gridCol w:w="2160"/>
        <w:gridCol w:w="990"/>
        <w:gridCol w:w="1080"/>
        <w:gridCol w:w="1264"/>
      </w:tblGrid>
      <w:tr w:rsidR="00C25E94">
        <w:trPr>
          <w:trHeight w:val="1061"/>
        </w:trPr>
        <w:tc>
          <w:tcPr>
            <w:tcW w:w="215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25E94" w:rsidRDefault="00AA21AD">
            <w:pPr>
              <w:spacing w:after="0" w:line="259" w:lineRule="auto"/>
              <w:ind w:left="0" w:right="0" w:firstLine="0"/>
              <w:jc w:val="left"/>
            </w:pPr>
            <w:r>
              <w:rPr>
                <w:b/>
                <w:sz w:val="20"/>
              </w:rPr>
              <w:t xml:space="preserve">Corporations, Partnerships, Estates and Trusts 40e (2017) </w:t>
            </w:r>
          </w:p>
        </w:tc>
        <w:tc>
          <w:tcPr>
            <w:tcW w:w="207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25E94" w:rsidRDefault="00AA21AD">
            <w:pPr>
              <w:spacing w:after="0" w:line="259" w:lineRule="auto"/>
              <w:ind w:left="1" w:right="0" w:firstLine="0"/>
              <w:jc w:val="left"/>
            </w:pPr>
            <w:r>
              <w:rPr>
                <w:b/>
                <w:sz w:val="20"/>
              </w:rPr>
              <w:t xml:space="preserve">Corporations, Partnerships, Estates and Trusts 41e (2018) </w:t>
            </w:r>
          </w:p>
        </w:tc>
        <w:tc>
          <w:tcPr>
            <w:tcW w:w="2160" w:type="dxa"/>
            <w:tcBorders>
              <w:top w:val="single" w:sz="4" w:space="0" w:color="000000"/>
              <w:left w:val="single" w:sz="4" w:space="0" w:color="000000"/>
              <w:bottom w:val="single" w:sz="4" w:space="0" w:color="000000"/>
              <w:right w:val="single" w:sz="4" w:space="0" w:color="000000"/>
            </w:tcBorders>
            <w:shd w:val="clear" w:color="auto" w:fill="F2F2F2"/>
          </w:tcPr>
          <w:p w:rsidR="00C25E94" w:rsidRDefault="00AA21AD">
            <w:pPr>
              <w:spacing w:after="0" w:line="259" w:lineRule="auto"/>
              <w:ind w:left="1" w:right="0" w:firstLine="0"/>
              <w:jc w:val="left"/>
            </w:pPr>
            <w:r>
              <w:rPr>
                <w:b/>
                <w:sz w:val="20"/>
              </w:rPr>
              <w:t xml:space="preserve">Corporations, Partnerships, Estates and Trusts 41e (2018) Learning Objectives </w:t>
            </w:r>
          </w:p>
        </w:tc>
        <w:tc>
          <w:tcPr>
            <w:tcW w:w="99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25E94" w:rsidRDefault="00AA21AD">
            <w:pPr>
              <w:spacing w:after="0" w:line="259" w:lineRule="auto"/>
              <w:ind w:left="1" w:right="0" w:firstLine="0"/>
              <w:jc w:val="left"/>
            </w:pPr>
            <w:r>
              <w:rPr>
                <w:b/>
                <w:sz w:val="20"/>
              </w:rPr>
              <w:t xml:space="preserve">Exact </w:t>
            </w:r>
          </w:p>
          <w:p w:rsidR="00C25E94" w:rsidRDefault="00AA21AD">
            <w:pPr>
              <w:spacing w:after="0" w:line="259" w:lineRule="auto"/>
              <w:ind w:left="1" w:right="0" w:firstLine="0"/>
              <w:jc w:val="left"/>
            </w:pPr>
            <w:r>
              <w:rPr>
                <w:b/>
                <w:sz w:val="20"/>
              </w:rPr>
              <w:t xml:space="preserve">Same </w:t>
            </w:r>
          </w:p>
        </w:tc>
        <w:tc>
          <w:tcPr>
            <w:tcW w:w="10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25E94" w:rsidRDefault="00AA21AD">
            <w:pPr>
              <w:spacing w:after="0" w:line="259" w:lineRule="auto"/>
              <w:ind w:left="1" w:right="0" w:firstLine="0"/>
              <w:jc w:val="left"/>
            </w:pPr>
            <w:r>
              <w:rPr>
                <w:b/>
                <w:sz w:val="20"/>
              </w:rPr>
              <w:t xml:space="preserve">Revised </w:t>
            </w:r>
          </w:p>
        </w:tc>
        <w:tc>
          <w:tcPr>
            <w:tcW w:w="126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25E94" w:rsidRDefault="00AA21AD">
            <w:pPr>
              <w:spacing w:after="0" w:line="259" w:lineRule="auto"/>
              <w:ind w:left="1" w:right="0" w:firstLine="0"/>
              <w:jc w:val="left"/>
            </w:pPr>
            <w:r>
              <w:rPr>
                <w:b/>
                <w:sz w:val="20"/>
              </w:rPr>
              <w:t xml:space="preserve">Brand New </w:t>
            </w:r>
          </w:p>
        </w:tc>
      </w:tr>
      <w:tr w:rsidR="00C25E94">
        <w:trPr>
          <w:trHeight w:val="309"/>
        </w:trPr>
        <w:tc>
          <w:tcPr>
            <w:tcW w:w="4224" w:type="dxa"/>
            <w:gridSpan w:val="2"/>
            <w:tcBorders>
              <w:top w:val="single" w:sz="4" w:space="0" w:color="000000"/>
              <w:left w:val="single" w:sz="4" w:space="0" w:color="000000"/>
              <w:bottom w:val="single" w:sz="4" w:space="0" w:color="000000"/>
              <w:right w:val="single" w:sz="4" w:space="0" w:color="000000"/>
            </w:tcBorders>
            <w:shd w:val="clear" w:color="auto" w:fill="D9D9D9"/>
          </w:tcPr>
          <w:p w:rsidR="00C25E94" w:rsidRDefault="00AA21AD">
            <w:pPr>
              <w:spacing w:after="0" w:line="259" w:lineRule="auto"/>
              <w:ind w:left="0" w:right="0" w:firstLine="0"/>
              <w:jc w:val="left"/>
            </w:pPr>
            <w:r>
              <w:rPr>
                <w:b/>
                <w:sz w:val="20"/>
              </w:rPr>
              <w:t xml:space="preserve">Discussion Questions (DQ) </w:t>
            </w:r>
          </w:p>
        </w:tc>
        <w:tc>
          <w:tcPr>
            <w:tcW w:w="2160" w:type="dxa"/>
            <w:tcBorders>
              <w:top w:val="single" w:sz="4" w:space="0" w:color="000000"/>
              <w:left w:val="single" w:sz="4" w:space="0" w:color="000000"/>
              <w:bottom w:val="single" w:sz="4" w:space="0" w:color="000000"/>
              <w:right w:val="single" w:sz="4" w:space="0" w:color="000000"/>
            </w:tcBorders>
            <w:shd w:val="clear" w:color="auto" w:fill="D9D9D9"/>
          </w:tcPr>
          <w:p w:rsidR="00C25E94" w:rsidRDefault="00AA21AD">
            <w:pPr>
              <w:spacing w:after="0" w:line="259" w:lineRule="auto"/>
              <w:ind w:left="1" w:right="0" w:firstLine="0"/>
              <w:jc w:val="left"/>
            </w:pPr>
            <w:r>
              <w:rPr>
                <w:b/>
                <w:sz w:val="20"/>
              </w:rPr>
              <w:t xml:space="preserve">  </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Pr>
          <w:p w:rsidR="00C25E94" w:rsidRDefault="00AA21AD">
            <w:pPr>
              <w:spacing w:after="0" w:line="259" w:lineRule="auto"/>
              <w:ind w:left="1" w:right="0" w:firstLine="0"/>
              <w:jc w:val="left"/>
            </w:pPr>
            <w:r>
              <w:rPr>
                <w:b/>
                <w:sz w:val="20"/>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D9D9D9"/>
          </w:tcPr>
          <w:p w:rsidR="00C25E94" w:rsidRDefault="00AA21AD">
            <w:pPr>
              <w:spacing w:after="0" w:line="259" w:lineRule="auto"/>
              <w:ind w:left="1"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shd w:val="clear" w:color="auto" w:fill="D9D9D9"/>
          </w:tcPr>
          <w:p w:rsidR="00C25E94" w:rsidRDefault="00AA21AD">
            <w:pPr>
              <w:spacing w:after="0" w:line="259" w:lineRule="auto"/>
              <w:ind w:left="1" w:right="0" w:firstLine="0"/>
              <w:jc w:val="left"/>
            </w:pPr>
            <w:r>
              <w:rPr>
                <w:b/>
                <w:sz w:val="20"/>
              </w:rPr>
              <w:t xml:space="preserve">  </w:t>
            </w:r>
          </w:p>
        </w:tc>
      </w:tr>
      <w:tr w:rsidR="00C25E94">
        <w:trPr>
          <w:trHeight w:val="311"/>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DQ1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DQ1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LO1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b/>
                <w:sz w:val="20"/>
              </w:rPr>
              <w:t xml:space="preserve">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DQ2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DQ2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LO1,2,3,4,5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b/>
                <w:sz w:val="20"/>
              </w:rPr>
              <w:t xml:space="preserve">  </w:t>
            </w:r>
          </w:p>
        </w:tc>
      </w:tr>
      <w:tr w:rsidR="00C25E94">
        <w:trPr>
          <w:trHeight w:val="311"/>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DQ3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deleted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N/A </w:t>
            </w:r>
          </w:p>
        </w:tc>
        <w:tc>
          <w:tcPr>
            <w:tcW w:w="990"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DQ4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DQ3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LO3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b/>
                <w:sz w:val="20"/>
              </w:rPr>
              <w:t xml:space="preserve">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DQ5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DQ4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LO3,11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b/>
                <w:sz w:val="20"/>
              </w:rPr>
              <w:t xml:space="preserve">  </w:t>
            </w:r>
          </w:p>
        </w:tc>
      </w:tr>
      <w:tr w:rsidR="00C25E94">
        <w:trPr>
          <w:trHeight w:val="311"/>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DQ6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DQ5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LO3,11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b/>
                <w:sz w:val="20"/>
              </w:rPr>
              <w:t xml:space="preserve">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DQ7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DQ6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LO3,5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b/>
                <w:sz w:val="20"/>
              </w:rPr>
              <w:t xml:space="preserve">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DQ8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deleted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N/A </w:t>
            </w:r>
          </w:p>
        </w:tc>
        <w:tc>
          <w:tcPr>
            <w:tcW w:w="990"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r>
      <w:tr w:rsidR="00C25E94">
        <w:trPr>
          <w:trHeight w:val="311"/>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DQ9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DQ7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LO5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b/>
                <w:sz w:val="20"/>
              </w:rPr>
              <w:t xml:space="preserve">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DQ10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DQ8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LO6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b/>
                <w:sz w:val="20"/>
              </w:rPr>
              <w:t xml:space="preserve">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DQ11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DQ9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LO6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b/>
                <w:sz w:val="20"/>
              </w:rPr>
              <w:t xml:space="preserve">  </w:t>
            </w:r>
          </w:p>
        </w:tc>
      </w:tr>
      <w:tr w:rsidR="00C25E94">
        <w:trPr>
          <w:trHeight w:val="311"/>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DQ12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DQ10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LO6,7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b/>
                <w:sz w:val="20"/>
              </w:rPr>
              <w:t xml:space="preserve">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DQ11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LO7 </w:t>
            </w:r>
          </w:p>
        </w:tc>
        <w:tc>
          <w:tcPr>
            <w:tcW w:w="990"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DQ12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LO7 </w:t>
            </w:r>
          </w:p>
        </w:tc>
        <w:tc>
          <w:tcPr>
            <w:tcW w:w="990"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r>
      <w:tr w:rsidR="00C25E94">
        <w:trPr>
          <w:trHeight w:val="311"/>
        </w:trPr>
        <w:tc>
          <w:tcPr>
            <w:tcW w:w="2154"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DQ13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LO7 </w:t>
            </w:r>
          </w:p>
        </w:tc>
        <w:tc>
          <w:tcPr>
            <w:tcW w:w="990"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vAlign w:val="bottom"/>
          </w:tcPr>
          <w:p w:rsidR="00C25E94" w:rsidRDefault="00C25E94">
            <w:pPr>
              <w:spacing w:after="160" w:line="259" w:lineRule="auto"/>
              <w:ind w:left="0" w:right="0" w:firstLine="0"/>
              <w:jc w:val="left"/>
            </w:pP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DQ14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LO7 </w:t>
            </w:r>
          </w:p>
        </w:tc>
        <w:tc>
          <w:tcPr>
            <w:tcW w:w="990"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DQ15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LO7 </w:t>
            </w:r>
          </w:p>
        </w:tc>
        <w:tc>
          <w:tcPr>
            <w:tcW w:w="990"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r>
      <w:tr w:rsidR="00C25E94">
        <w:trPr>
          <w:trHeight w:val="311"/>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DQ13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DQ16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LO7,8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b/>
                <w:sz w:val="20"/>
              </w:rPr>
              <w:t xml:space="preserve">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DQ14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DQ17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LO6,7,8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b/>
                <w:sz w:val="20"/>
              </w:rPr>
              <w:t xml:space="preserve">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DQ15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DQ18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LO8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b/>
                <w:sz w:val="20"/>
              </w:rPr>
              <w:t xml:space="preserve">  </w:t>
            </w:r>
          </w:p>
        </w:tc>
      </w:tr>
      <w:tr w:rsidR="00C25E94">
        <w:trPr>
          <w:trHeight w:val="311"/>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DQ16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DQ19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LO8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b/>
                <w:sz w:val="20"/>
              </w:rPr>
              <w:t xml:space="preserve">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DQ18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DQ20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LO9 </w:t>
            </w:r>
          </w:p>
        </w:tc>
        <w:tc>
          <w:tcPr>
            <w:tcW w:w="990"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lastRenderedPageBreak/>
              <w:t xml:space="preserve">DQ19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DQ21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LO10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1264"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r>
      <w:tr w:rsidR="00C25E94">
        <w:trPr>
          <w:trHeight w:val="311"/>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DQ20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DQ22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LO11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1264"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r>
      <w:tr w:rsidR="00C25E94">
        <w:trPr>
          <w:trHeight w:val="311"/>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DQ21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DQ23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LO11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1264"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r>
      <w:tr w:rsidR="00C25E94">
        <w:trPr>
          <w:trHeight w:val="307"/>
        </w:trPr>
        <w:tc>
          <w:tcPr>
            <w:tcW w:w="4224" w:type="dxa"/>
            <w:gridSpan w:val="2"/>
            <w:tcBorders>
              <w:top w:val="single" w:sz="4" w:space="0" w:color="000000"/>
              <w:left w:val="single" w:sz="4" w:space="0" w:color="000000"/>
              <w:bottom w:val="single" w:sz="4" w:space="0" w:color="000000"/>
              <w:right w:val="nil"/>
            </w:tcBorders>
            <w:shd w:val="clear" w:color="auto" w:fill="D9D9D9"/>
          </w:tcPr>
          <w:p w:rsidR="00C25E94" w:rsidRDefault="00AA21AD">
            <w:pPr>
              <w:spacing w:after="0" w:line="259" w:lineRule="auto"/>
              <w:ind w:left="0" w:right="0" w:firstLine="0"/>
              <w:jc w:val="left"/>
            </w:pPr>
            <w:r>
              <w:rPr>
                <w:b/>
                <w:sz w:val="20"/>
              </w:rPr>
              <w:t xml:space="preserve">Computational Exercises (EX) </w:t>
            </w:r>
          </w:p>
        </w:tc>
        <w:tc>
          <w:tcPr>
            <w:tcW w:w="2160" w:type="dxa"/>
            <w:tcBorders>
              <w:top w:val="single" w:sz="4" w:space="0" w:color="000000"/>
              <w:left w:val="nil"/>
              <w:bottom w:val="single" w:sz="4" w:space="0" w:color="000000"/>
              <w:right w:val="single" w:sz="4" w:space="0" w:color="000000"/>
            </w:tcBorders>
            <w:shd w:val="clear" w:color="auto" w:fill="D9D9D9"/>
          </w:tcPr>
          <w:p w:rsidR="00C25E94" w:rsidRDefault="00C25E94">
            <w:pPr>
              <w:spacing w:after="160" w:line="259" w:lineRule="auto"/>
              <w:ind w:left="0" w:right="0" w:firstLine="0"/>
              <w:jc w:val="left"/>
            </w:pPr>
          </w:p>
        </w:tc>
        <w:tc>
          <w:tcPr>
            <w:tcW w:w="990" w:type="dxa"/>
            <w:tcBorders>
              <w:top w:val="single" w:sz="4" w:space="0" w:color="000000"/>
              <w:left w:val="single" w:sz="4" w:space="0" w:color="000000"/>
              <w:bottom w:val="single" w:sz="4" w:space="0" w:color="000000"/>
              <w:right w:val="single" w:sz="4" w:space="0" w:color="000000"/>
            </w:tcBorders>
            <w:shd w:val="clear" w:color="auto" w:fill="D9D9D9"/>
          </w:tcPr>
          <w:p w:rsidR="00C25E94" w:rsidRDefault="00AA21AD">
            <w:pPr>
              <w:spacing w:after="0" w:line="259" w:lineRule="auto"/>
              <w:ind w:left="1" w:right="0" w:firstLine="0"/>
              <w:jc w:val="left"/>
            </w:pPr>
            <w:r>
              <w:rPr>
                <w:b/>
                <w:sz w:val="20"/>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D9D9D9"/>
          </w:tcPr>
          <w:p w:rsidR="00C25E94" w:rsidRDefault="00AA21AD">
            <w:pPr>
              <w:spacing w:after="0" w:line="259" w:lineRule="auto"/>
              <w:ind w:left="1"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shd w:val="clear" w:color="auto" w:fill="D9D9D9"/>
          </w:tcPr>
          <w:p w:rsidR="00C25E94" w:rsidRDefault="00AA21AD">
            <w:pPr>
              <w:spacing w:after="0" w:line="259" w:lineRule="auto"/>
              <w:ind w:left="1" w:right="0" w:firstLine="0"/>
              <w:jc w:val="left"/>
            </w:pPr>
            <w:r>
              <w:rPr>
                <w:b/>
                <w:sz w:val="20"/>
              </w:rPr>
              <w:t xml:space="preserve">  </w:t>
            </w:r>
          </w:p>
        </w:tc>
      </w:tr>
      <w:tr w:rsidR="00C25E94">
        <w:trPr>
          <w:trHeight w:val="312"/>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EX22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EX24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LO2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b/>
                <w:sz w:val="20"/>
              </w:rPr>
              <w:t xml:space="preserve">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EX23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EX25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LO2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EX24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EX26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LO3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b/>
                <w:sz w:val="20"/>
              </w:rPr>
              <w:t xml:space="preserve">  </w:t>
            </w:r>
          </w:p>
        </w:tc>
      </w:tr>
      <w:tr w:rsidR="00C25E94">
        <w:trPr>
          <w:trHeight w:val="311"/>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EX25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EX27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LO3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b/>
                <w:sz w:val="20"/>
              </w:rPr>
              <w:t xml:space="preserve">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EX26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deleted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sz w:val="20"/>
              </w:rPr>
              <w:t xml:space="preserve">N/A </w:t>
            </w:r>
          </w:p>
        </w:tc>
        <w:tc>
          <w:tcPr>
            <w:tcW w:w="990"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EX27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EX28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LO4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r>
      <w:tr w:rsidR="00C25E94">
        <w:trPr>
          <w:trHeight w:val="311"/>
        </w:trPr>
        <w:tc>
          <w:tcPr>
            <w:tcW w:w="2154"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EX29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LO7 </w:t>
            </w:r>
          </w:p>
        </w:tc>
        <w:tc>
          <w:tcPr>
            <w:tcW w:w="990"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1080"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r>
    </w:tbl>
    <w:p w:rsidR="00C25E94" w:rsidRDefault="00AA21AD">
      <w:pPr>
        <w:spacing w:after="3" w:line="259" w:lineRule="auto"/>
        <w:ind w:left="1087" w:hanging="10"/>
        <w:jc w:val="center"/>
      </w:pPr>
      <w:r>
        <w:rPr>
          <w:b/>
        </w:rPr>
        <w:t xml:space="preserve">EOC 3-1 </w:t>
      </w:r>
    </w:p>
    <w:p w:rsidR="00C25E94" w:rsidRDefault="00AA21AD">
      <w:pPr>
        <w:spacing w:after="0" w:line="259" w:lineRule="auto"/>
        <w:ind w:left="0" w:right="537" w:firstLine="0"/>
        <w:jc w:val="right"/>
      </w:pPr>
      <w:r>
        <w:rPr>
          <w:rFonts w:ascii="Calibri" w:eastAsia="Calibri" w:hAnsi="Calibri" w:cs="Calibri"/>
        </w:rPr>
        <w:t xml:space="preserve"> </w:t>
      </w:r>
    </w:p>
    <w:p w:rsidR="00C25E94" w:rsidRDefault="00AA21AD">
      <w:pPr>
        <w:spacing w:after="0" w:line="259" w:lineRule="auto"/>
        <w:ind w:left="10" w:right="1082" w:hanging="10"/>
        <w:jc w:val="center"/>
      </w:pPr>
      <w:r>
        <w:rPr>
          <w:sz w:val="16"/>
        </w:rPr>
        <w:t xml:space="preserve">South-Western Federal Taxation 2018 Edition Series End-of-Chapter Question, Exercise, and Problem Correlations: </w:t>
      </w:r>
    </w:p>
    <w:p w:rsidR="00C25E94" w:rsidRDefault="00AA21AD">
      <w:pPr>
        <w:spacing w:after="163" w:line="259" w:lineRule="auto"/>
        <w:ind w:left="0" w:right="1082" w:firstLine="0"/>
        <w:jc w:val="center"/>
      </w:pPr>
      <w:r>
        <w:rPr>
          <w:i/>
          <w:sz w:val="16"/>
        </w:rPr>
        <w:t xml:space="preserve">Corporations, Partnerships, Estates and Trusts (Volume 2) </w:t>
      </w:r>
    </w:p>
    <w:tbl>
      <w:tblPr>
        <w:tblStyle w:val="TableGrid"/>
        <w:tblW w:w="9718" w:type="dxa"/>
        <w:tblInd w:w="1" w:type="dxa"/>
        <w:tblCellMar>
          <w:top w:w="84" w:type="dxa"/>
          <w:left w:w="107" w:type="dxa"/>
          <w:bottom w:w="0" w:type="dxa"/>
          <w:right w:w="63" w:type="dxa"/>
        </w:tblCellMar>
        <w:tblLook w:val="04A0" w:firstRow="1" w:lastRow="0" w:firstColumn="1" w:lastColumn="0" w:noHBand="0" w:noVBand="1"/>
      </w:tblPr>
      <w:tblGrid>
        <w:gridCol w:w="2154"/>
        <w:gridCol w:w="2070"/>
        <w:gridCol w:w="2160"/>
        <w:gridCol w:w="990"/>
        <w:gridCol w:w="1080"/>
        <w:gridCol w:w="1264"/>
      </w:tblGrid>
      <w:tr w:rsidR="00C25E94">
        <w:trPr>
          <w:trHeight w:val="1060"/>
        </w:trPr>
        <w:tc>
          <w:tcPr>
            <w:tcW w:w="215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25E94" w:rsidRDefault="00AA21AD">
            <w:pPr>
              <w:spacing w:after="0" w:line="259" w:lineRule="auto"/>
              <w:ind w:left="0" w:right="0" w:firstLine="0"/>
              <w:jc w:val="left"/>
            </w:pPr>
            <w:r>
              <w:rPr>
                <w:b/>
                <w:sz w:val="20"/>
              </w:rPr>
              <w:t xml:space="preserve">Corporations, Partnerships, Estates and Trusts 40e (2017) </w:t>
            </w:r>
          </w:p>
        </w:tc>
        <w:tc>
          <w:tcPr>
            <w:tcW w:w="207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25E94" w:rsidRDefault="00AA21AD">
            <w:pPr>
              <w:spacing w:after="0" w:line="259" w:lineRule="auto"/>
              <w:ind w:left="1" w:right="0" w:firstLine="0"/>
              <w:jc w:val="left"/>
            </w:pPr>
            <w:r>
              <w:rPr>
                <w:b/>
                <w:sz w:val="20"/>
              </w:rPr>
              <w:t xml:space="preserve">Corporations, Partnerships, Estates and Trusts 41e (2018) </w:t>
            </w:r>
          </w:p>
        </w:tc>
        <w:tc>
          <w:tcPr>
            <w:tcW w:w="2160" w:type="dxa"/>
            <w:tcBorders>
              <w:top w:val="single" w:sz="4" w:space="0" w:color="000000"/>
              <w:left w:val="single" w:sz="4" w:space="0" w:color="000000"/>
              <w:bottom w:val="single" w:sz="4" w:space="0" w:color="000000"/>
              <w:right w:val="single" w:sz="4" w:space="0" w:color="000000"/>
            </w:tcBorders>
            <w:shd w:val="clear" w:color="auto" w:fill="F2F2F2"/>
          </w:tcPr>
          <w:p w:rsidR="00C25E94" w:rsidRDefault="00AA21AD">
            <w:pPr>
              <w:spacing w:after="0" w:line="259" w:lineRule="auto"/>
              <w:ind w:left="1" w:right="0" w:firstLine="0"/>
              <w:jc w:val="left"/>
            </w:pPr>
            <w:r>
              <w:rPr>
                <w:b/>
                <w:sz w:val="20"/>
              </w:rPr>
              <w:t xml:space="preserve">Corporations, Partnerships, Estates and Trusts 41e (2018) Learning Objectives </w:t>
            </w:r>
          </w:p>
        </w:tc>
        <w:tc>
          <w:tcPr>
            <w:tcW w:w="99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25E94" w:rsidRDefault="00AA21AD">
            <w:pPr>
              <w:spacing w:after="0" w:line="259" w:lineRule="auto"/>
              <w:ind w:left="1" w:right="0" w:firstLine="0"/>
              <w:jc w:val="left"/>
            </w:pPr>
            <w:r>
              <w:rPr>
                <w:b/>
                <w:sz w:val="20"/>
              </w:rPr>
              <w:t xml:space="preserve">Exact </w:t>
            </w:r>
          </w:p>
          <w:p w:rsidR="00C25E94" w:rsidRDefault="00AA21AD">
            <w:pPr>
              <w:spacing w:after="0" w:line="259" w:lineRule="auto"/>
              <w:ind w:left="1" w:right="0" w:firstLine="0"/>
              <w:jc w:val="left"/>
            </w:pPr>
            <w:r>
              <w:rPr>
                <w:b/>
                <w:sz w:val="20"/>
              </w:rPr>
              <w:t xml:space="preserve">Same </w:t>
            </w:r>
          </w:p>
        </w:tc>
        <w:tc>
          <w:tcPr>
            <w:tcW w:w="10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25E94" w:rsidRDefault="00AA21AD">
            <w:pPr>
              <w:spacing w:after="0" w:line="259" w:lineRule="auto"/>
              <w:ind w:left="1" w:right="0" w:firstLine="0"/>
              <w:jc w:val="left"/>
            </w:pPr>
            <w:r>
              <w:rPr>
                <w:b/>
                <w:sz w:val="20"/>
              </w:rPr>
              <w:t xml:space="preserve">Revised </w:t>
            </w:r>
          </w:p>
        </w:tc>
        <w:tc>
          <w:tcPr>
            <w:tcW w:w="126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25E94" w:rsidRDefault="00AA21AD">
            <w:pPr>
              <w:spacing w:after="0" w:line="259" w:lineRule="auto"/>
              <w:ind w:left="1" w:right="0" w:firstLine="0"/>
              <w:jc w:val="left"/>
            </w:pPr>
            <w:r>
              <w:rPr>
                <w:b/>
                <w:sz w:val="20"/>
              </w:rPr>
              <w:t xml:space="preserve">Brand New </w:t>
            </w:r>
          </w:p>
        </w:tc>
      </w:tr>
      <w:tr w:rsidR="00C25E94">
        <w:trPr>
          <w:trHeight w:val="311"/>
        </w:trPr>
        <w:tc>
          <w:tcPr>
            <w:tcW w:w="2154"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EX30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LO7 </w:t>
            </w:r>
          </w:p>
        </w:tc>
        <w:tc>
          <w:tcPr>
            <w:tcW w:w="990"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1080"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r>
      <w:tr w:rsidR="00C25E94">
        <w:trPr>
          <w:trHeight w:val="311"/>
        </w:trPr>
        <w:tc>
          <w:tcPr>
            <w:tcW w:w="2154"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EX31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LO7 </w:t>
            </w:r>
          </w:p>
        </w:tc>
        <w:tc>
          <w:tcPr>
            <w:tcW w:w="990"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1080"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EX32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LO7 </w:t>
            </w:r>
          </w:p>
        </w:tc>
        <w:tc>
          <w:tcPr>
            <w:tcW w:w="990"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1080"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EX28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EX33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LO7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b/>
                <w:sz w:val="20"/>
              </w:rPr>
              <w:t xml:space="preserve">  </w:t>
            </w:r>
          </w:p>
        </w:tc>
      </w:tr>
      <w:tr w:rsidR="00C25E94">
        <w:trPr>
          <w:trHeight w:val="311"/>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EX29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EX34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LO8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b/>
                <w:sz w:val="20"/>
              </w:rPr>
              <w:t xml:space="preserve">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EX30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EX35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LO10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b/>
                <w:sz w:val="20"/>
              </w:rPr>
              <w:t xml:space="preserve">  </w:t>
            </w:r>
          </w:p>
        </w:tc>
      </w:tr>
      <w:tr w:rsidR="00C25E94">
        <w:trPr>
          <w:trHeight w:val="311"/>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EX31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EX36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LO10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r>
      <w:tr w:rsidR="00C25E94">
        <w:trPr>
          <w:trHeight w:val="308"/>
        </w:trPr>
        <w:tc>
          <w:tcPr>
            <w:tcW w:w="2154" w:type="dxa"/>
            <w:tcBorders>
              <w:top w:val="single" w:sz="4" w:space="0" w:color="000000"/>
              <w:left w:val="single" w:sz="4" w:space="0" w:color="000000"/>
              <w:bottom w:val="single" w:sz="4" w:space="0" w:color="000000"/>
              <w:right w:val="nil"/>
            </w:tcBorders>
            <w:shd w:val="clear" w:color="auto" w:fill="D9D9D9"/>
          </w:tcPr>
          <w:p w:rsidR="00C25E94" w:rsidRDefault="00AA21AD">
            <w:pPr>
              <w:spacing w:after="0" w:line="259" w:lineRule="auto"/>
              <w:ind w:left="0" w:right="0" w:firstLine="0"/>
              <w:jc w:val="left"/>
            </w:pPr>
            <w:r>
              <w:rPr>
                <w:b/>
                <w:sz w:val="20"/>
              </w:rPr>
              <w:t xml:space="preserve">Problems (PR) </w:t>
            </w:r>
          </w:p>
        </w:tc>
        <w:tc>
          <w:tcPr>
            <w:tcW w:w="2070" w:type="dxa"/>
            <w:tcBorders>
              <w:top w:val="single" w:sz="4" w:space="0" w:color="000000"/>
              <w:left w:val="nil"/>
              <w:bottom w:val="single" w:sz="4" w:space="0" w:color="000000"/>
              <w:right w:val="single" w:sz="4" w:space="0" w:color="000000"/>
            </w:tcBorders>
            <w:shd w:val="clear" w:color="auto" w:fill="D9D9D9"/>
          </w:tcPr>
          <w:p w:rsidR="00C25E94" w:rsidRDefault="00C25E94">
            <w:pPr>
              <w:spacing w:after="160" w:line="259" w:lineRule="auto"/>
              <w:ind w:left="0" w:right="0" w:firstLine="0"/>
              <w:jc w:val="left"/>
            </w:pPr>
          </w:p>
        </w:tc>
        <w:tc>
          <w:tcPr>
            <w:tcW w:w="2160" w:type="dxa"/>
            <w:tcBorders>
              <w:top w:val="single" w:sz="4" w:space="0" w:color="000000"/>
              <w:left w:val="single" w:sz="4" w:space="0" w:color="000000"/>
              <w:bottom w:val="single" w:sz="4" w:space="0" w:color="000000"/>
              <w:right w:val="single" w:sz="4" w:space="0" w:color="000000"/>
            </w:tcBorders>
            <w:shd w:val="clear" w:color="auto" w:fill="D9D9D9"/>
          </w:tcPr>
          <w:p w:rsidR="00C25E94" w:rsidRDefault="00AA21AD">
            <w:pPr>
              <w:spacing w:after="0" w:line="259" w:lineRule="auto"/>
              <w:ind w:left="1" w:right="0" w:firstLine="0"/>
              <w:jc w:val="left"/>
            </w:pPr>
            <w:r>
              <w:rPr>
                <w:b/>
                <w:sz w:val="20"/>
              </w:rPr>
              <w:t xml:space="preserve">  </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Pr>
          <w:p w:rsidR="00C25E94" w:rsidRDefault="00AA21AD">
            <w:pPr>
              <w:spacing w:after="0" w:line="259" w:lineRule="auto"/>
              <w:ind w:left="1" w:right="0" w:firstLine="0"/>
              <w:jc w:val="left"/>
            </w:pPr>
            <w:r>
              <w:rPr>
                <w:b/>
                <w:sz w:val="20"/>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D9D9D9"/>
          </w:tcPr>
          <w:p w:rsidR="00C25E94" w:rsidRDefault="00AA21AD">
            <w:pPr>
              <w:spacing w:after="0" w:line="259" w:lineRule="auto"/>
              <w:ind w:left="1"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shd w:val="clear" w:color="auto" w:fill="D9D9D9"/>
          </w:tcPr>
          <w:p w:rsidR="00C25E94" w:rsidRDefault="00AA21AD">
            <w:pPr>
              <w:spacing w:after="0" w:line="259" w:lineRule="auto"/>
              <w:ind w:left="1" w:right="0" w:firstLine="0"/>
              <w:jc w:val="left"/>
            </w:pPr>
            <w:r>
              <w:rPr>
                <w:b/>
                <w:sz w:val="20"/>
              </w:rPr>
              <w:t xml:space="preserve">  </w:t>
            </w:r>
          </w:p>
        </w:tc>
      </w:tr>
      <w:tr w:rsidR="00C25E94">
        <w:trPr>
          <w:trHeight w:val="311"/>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PR32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PR37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LO1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PR33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PR38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LO2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r>
      <w:tr w:rsidR="00C25E94">
        <w:trPr>
          <w:trHeight w:val="311"/>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PR34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PR39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LO3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PR35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deleted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sz w:val="20"/>
              </w:rPr>
              <w:t xml:space="preserve">N/A </w:t>
            </w:r>
          </w:p>
        </w:tc>
        <w:tc>
          <w:tcPr>
            <w:tcW w:w="990"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lastRenderedPageBreak/>
              <w:t xml:space="preserve">PR36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PR40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LO3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r>
      <w:tr w:rsidR="00C25E94">
        <w:trPr>
          <w:trHeight w:val="311"/>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PR37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deleted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sz w:val="20"/>
              </w:rPr>
              <w:t xml:space="preserve">N/A </w:t>
            </w:r>
          </w:p>
        </w:tc>
        <w:tc>
          <w:tcPr>
            <w:tcW w:w="990"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PR38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deleted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sz w:val="20"/>
              </w:rPr>
              <w:t xml:space="preserve">N/A </w:t>
            </w:r>
          </w:p>
        </w:tc>
        <w:tc>
          <w:tcPr>
            <w:tcW w:w="990"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PR39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deleted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sz w:val="20"/>
              </w:rPr>
              <w:t xml:space="preserve">N/A </w:t>
            </w:r>
          </w:p>
        </w:tc>
        <w:tc>
          <w:tcPr>
            <w:tcW w:w="990"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r>
      <w:tr w:rsidR="00C25E94">
        <w:trPr>
          <w:trHeight w:val="311"/>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PR40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PR41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LO2,3,4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PR41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PR42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LO2,3,4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PR42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PR43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LO5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r>
      <w:tr w:rsidR="00C25E94">
        <w:trPr>
          <w:trHeight w:val="311"/>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PR43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PR44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LO2,3,4,5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PR44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deleted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sz w:val="20"/>
              </w:rPr>
              <w:t xml:space="preserve">N/A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PR45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PR45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LO6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r>
      <w:tr w:rsidR="00C25E94">
        <w:trPr>
          <w:trHeight w:val="311"/>
        </w:trPr>
        <w:tc>
          <w:tcPr>
            <w:tcW w:w="2154"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PR46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LO7,8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PR47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LO7,8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PR48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LO7,8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x</w:t>
            </w:r>
            <w:r>
              <w:rPr>
                <w:sz w:val="20"/>
              </w:rPr>
              <w:t xml:space="preserve">  </w:t>
            </w:r>
          </w:p>
        </w:tc>
      </w:tr>
      <w:tr w:rsidR="00C25E94">
        <w:trPr>
          <w:trHeight w:val="311"/>
        </w:trPr>
        <w:tc>
          <w:tcPr>
            <w:tcW w:w="2154"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PR49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LO7,8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PR50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LO7,8 </w:t>
            </w:r>
          </w:p>
        </w:tc>
        <w:tc>
          <w:tcPr>
            <w:tcW w:w="990"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PR51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LO7,8 </w:t>
            </w:r>
          </w:p>
        </w:tc>
        <w:tc>
          <w:tcPr>
            <w:tcW w:w="990"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r>
      <w:tr w:rsidR="00C25E94">
        <w:trPr>
          <w:trHeight w:val="311"/>
        </w:trPr>
        <w:tc>
          <w:tcPr>
            <w:tcW w:w="2154"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PR52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LO7,8 </w:t>
            </w:r>
          </w:p>
        </w:tc>
        <w:tc>
          <w:tcPr>
            <w:tcW w:w="990"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PR53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LO7,8 </w:t>
            </w:r>
          </w:p>
        </w:tc>
        <w:tc>
          <w:tcPr>
            <w:tcW w:w="990"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x</w:t>
            </w:r>
            <w:r>
              <w:rPr>
                <w:sz w:val="20"/>
              </w:rPr>
              <w:t xml:space="preserve">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PR54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LO7,8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r>
      <w:tr w:rsidR="00C25E94">
        <w:trPr>
          <w:trHeight w:val="311"/>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PR46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PR55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LO6,7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PR47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PR56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LO6,7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PR48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PR57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LO6,7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r>
      <w:tr w:rsidR="00C25E94">
        <w:trPr>
          <w:trHeight w:val="311"/>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PR49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PR58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LO8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PR50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PR59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LO8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PR51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PR60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LO6,7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r>
      <w:tr w:rsidR="00C25E94">
        <w:trPr>
          <w:trHeight w:val="311"/>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PR52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PR61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LO8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r>
    </w:tbl>
    <w:p w:rsidR="00C25E94" w:rsidRDefault="00AA21AD">
      <w:pPr>
        <w:spacing w:after="3" w:line="259" w:lineRule="auto"/>
        <w:ind w:left="1087" w:right="2162" w:hanging="10"/>
        <w:jc w:val="center"/>
      </w:pPr>
      <w:r>
        <w:rPr>
          <w:b/>
        </w:rPr>
        <w:t xml:space="preserve">EOC 3-2 </w:t>
      </w:r>
    </w:p>
    <w:p w:rsidR="00C25E94" w:rsidRDefault="00AA21AD">
      <w:pPr>
        <w:spacing w:after="0" w:line="259" w:lineRule="auto"/>
        <w:ind w:left="582" w:right="0" w:firstLine="0"/>
        <w:jc w:val="left"/>
      </w:pPr>
      <w:r>
        <w:rPr>
          <w:sz w:val="16"/>
        </w:rPr>
        <w:t>© 2018 Cengage Learning</w:t>
      </w:r>
      <w:r>
        <w:rPr>
          <w:sz w:val="16"/>
          <w:vertAlign w:val="superscript"/>
        </w:rPr>
        <w:t>®</w:t>
      </w:r>
      <w:r>
        <w:rPr>
          <w:sz w:val="16"/>
        </w:rPr>
        <w:t>. May not be scanned, copied or duplicated, or posted to a publicly accessible website, in whole or in part.</w:t>
      </w:r>
      <w:r>
        <w:rPr>
          <w:rFonts w:ascii="Calibri" w:eastAsia="Calibri" w:hAnsi="Calibri" w:cs="Calibri"/>
        </w:rPr>
        <w:t xml:space="preserve"> </w:t>
      </w:r>
    </w:p>
    <w:p w:rsidR="00C25E94" w:rsidRDefault="00AA21AD">
      <w:pPr>
        <w:spacing w:after="163" w:line="259" w:lineRule="auto"/>
        <w:ind w:left="1773" w:right="646" w:hanging="10"/>
        <w:jc w:val="center"/>
      </w:pPr>
      <w:r>
        <w:rPr>
          <w:sz w:val="16"/>
        </w:rPr>
        <w:t xml:space="preserve">South-Western Federal Taxation 2018 Edition Series End-of-Chapter Question, Exercise, and Problem Correlations: </w:t>
      </w:r>
      <w:r>
        <w:rPr>
          <w:i/>
          <w:sz w:val="16"/>
        </w:rPr>
        <w:t>Corporations, Partnerships, Estate</w:t>
      </w:r>
      <w:r>
        <w:rPr>
          <w:i/>
          <w:sz w:val="16"/>
        </w:rPr>
        <w:t xml:space="preserve">s and Trusts (Volume 2) </w:t>
      </w:r>
    </w:p>
    <w:tbl>
      <w:tblPr>
        <w:tblStyle w:val="TableGrid"/>
        <w:tblW w:w="9718" w:type="dxa"/>
        <w:tblInd w:w="1081" w:type="dxa"/>
        <w:tblCellMar>
          <w:top w:w="66" w:type="dxa"/>
          <w:left w:w="107" w:type="dxa"/>
          <w:bottom w:w="0" w:type="dxa"/>
          <w:right w:w="63" w:type="dxa"/>
        </w:tblCellMar>
        <w:tblLook w:val="04A0" w:firstRow="1" w:lastRow="0" w:firstColumn="1" w:lastColumn="0" w:noHBand="0" w:noVBand="1"/>
      </w:tblPr>
      <w:tblGrid>
        <w:gridCol w:w="2154"/>
        <w:gridCol w:w="2070"/>
        <w:gridCol w:w="2160"/>
        <w:gridCol w:w="990"/>
        <w:gridCol w:w="1080"/>
        <w:gridCol w:w="1264"/>
      </w:tblGrid>
      <w:tr w:rsidR="00C25E94">
        <w:trPr>
          <w:trHeight w:val="1060"/>
        </w:trPr>
        <w:tc>
          <w:tcPr>
            <w:tcW w:w="215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25E94" w:rsidRDefault="00AA21AD">
            <w:pPr>
              <w:spacing w:after="0" w:line="259" w:lineRule="auto"/>
              <w:ind w:left="0" w:right="0" w:firstLine="0"/>
              <w:jc w:val="left"/>
            </w:pPr>
            <w:r>
              <w:rPr>
                <w:b/>
                <w:sz w:val="20"/>
              </w:rPr>
              <w:lastRenderedPageBreak/>
              <w:t xml:space="preserve">Corporations, Partnerships, Estates and Trusts 40e (2017) </w:t>
            </w:r>
          </w:p>
        </w:tc>
        <w:tc>
          <w:tcPr>
            <w:tcW w:w="207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25E94" w:rsidRDefault="00AA21AD">
            <w:pPr>
              <w:spacing w:after="0" w:line="259" w:lineRule="auto"/>
              <w:ind w:left="1" w:right="0" w:firstLine="0"/>
              <w:jc w:val="left"/>
            </w:pPr>
            <w:r>
              <w:rPr>
                <w:b/>
                <w:sz w:val="20"/>
              </w:rPr>
              <w:t xml:space="preserve">Corporations, Partnerships, Estates and Trusts 41e (2018) </w:t>
            </w:r>
          </w:p>
        </w:tc>
        <w:tc>
          <w:tcPr>
            <w:tcW w:w="2160" w:type="dxa"/>
            <w:tcBorders>
              <w:top w:val="single" w:sz="4" w:space="0" w:color="000000"/>
              <w:left w:val="single" w:sz="4" w:space="0" w:color="000000"/>
              <w:bottom w:val="single" w:sz="4" w:space="0" w:color="000000"/>
              <w:right w:val="single" w:sz="4" w:space="0" w:color="000000"/>
            </w:tcBorders>
            <w:shd w:val="clear" w:color="auto" w:fill="F2F2F2"/>
          </w:tcPr>
          <w:p w:rsidR="00C25E94" w:rsidRDefault="00AA21AD">
            <w:pPr>
              <w:spacing w:after="0" w:line="259" w:lineRule="auto"/>
              <w:ind w:left="1" w:right="0" w:firstLine="0"/>
              <w:jc w:val="left"/>
            </w:pPr>
            <w:r>
              <w:rPr>
                <w:b/>
                <w:sz w:val="20"/>
              </w:rPr>
              <w:t xml:space="preserve">Corporations, Partnerships, Estates and Trusts 41e (2018) Learning Objectives </w:t>
            </w:r>
          </w:p>
        </w:tc>
        <w:tc>
          <w:tcPr>
            <w:tcW w:w="99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25E94" w:rsidRDefault="00AA21AD">
            <w:pPr>
              <w:spacing w:after="0" w:line="259" w:lineRule="auto"/>
              <w:ind w:left="1" w:right="0" w:firstLine="0"/>
              <w:jc w:val="left"/>
            </w:pPr>
            <w:r>
              <w:rPr>
                <w:b/>
                <w:sz w:val="20"/>
              </w:rPr>
              <w:t xml:space="preserve">Exact </w:t>
            </w:r>
          </w:p>
          <w:p w:rsidR="00C25E94" w:rsidRDefault="00AA21AD">
            <w:pPr>
              <w:spacing w:after="0" w:line="259" w:lineRule="auto"/>
              <w:ind w:left="1" w:right="0" w:firstLine="0"/>
              <w:jc w:val="left"/>
            </w:pPr>
            <w:r>
              <w:rPr>
                <w:b/>
                <w:sz w:val="20"/>
              </w:rPr>
              <w:t xml:space="preserve">Same </w:t>
            </w:r>
          </w:p>
        </w:tc>
        <w:tc>
          <w:tcPr>
            <w:tcW w:w="10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25E94" w:rsidRDefault="00AA21AD">
            <w:pPr>
              <w:spacing w:after="0" w:line="259" w:lineRule="auto"/>
              <w:ind w:left="1" w:right="0" w:firstLine="0"/>
              <w:jc w:val="left"/>
            </w:pPr>
            <w:r>
              <w:rPr>
                <w:b/>
                <w:sz w:val="20"/>
              </w:rPr>
              <w:t xml:space="preserve">Revised </w:t>
            </w:r>
          </w:p>
        </w:tc>
        <w:tc>
          <w:tcPr>
            <w:tcW w:w="126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25E94" w:rsidRDefault="00AA21AD">
            <w:pPr>
              <w:spacing w:after="0" w:line="259" w:lineRule="auto"/>
              <w:ind w:left="1" w:right="0" w:firstLine="0"/>
              <w:jc w:val="left"/>
            </w:pPr>
            <w:r>
              <w:rPr>
                <w:b/>
                <w:sz w:val="20"/>
              </w:rPr>
              <w:t xml:space="preserve">Brand New </w:t>
            </w:r>
          </w:p>
        </w:tc>
      </w:tr>
      <w:tr w:rsidR="00C25E94">
        <w:trPr>
          <w:trHeight w:val="311"/>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PR53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PR62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LO10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r>
      <w:tr w:rsidR="00C25E94">
        <w:trPr>
          <w:trHeight w:val="312"/>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PR54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PR63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LO10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r>
      <w:tr w:rsidR="00C25E94">
        <w:trPr>
          <w:trHeight w:val="307"/>
        </w:trPr>
        <w:tc>
          <w:tcPr>
            <w:tcW w:w="4224" w:type="dxa"/>
            <w:gridSpan w:val="2"/>
            <w:tcBorders>
              <w:top w:val="single" w:sz="4" w:space="0" w:color="000000"/>
              <w:left w:val="single" w:sz="4" w:space="0" w:color="000000"/>
              <w:bottom w:val="single" w:sz="4" w:space="0" w:color="000000"/>
              <w:right w:val="nil"/>
            </w:tcBorders>
            <w:shd w:val="clear" w:color="auto" w:fill="D9D9D9"/>
          </w:tcPr>
          <w:p w:rsidR="00C25E94" w:rsidRDefault="00AA21AD">
            <w:pPr>
              <w:spacing w:after="0" w:line="259" w:lineRule="auto"/>
              <w:ind w:left="0" w:right="0" w:firstLine="0"/>
              <w:jc w:val="left"/>
            </w:pPr>
            <w:r>
              <w:rPr>
                <w:b/>
                <w:sz w:val="20"/>
              </w:rPr>
              <w:t xml:space="preserve">Cumulative (Tax Return) Problems (CP) </w:t>
            </w:r>
          </w:p>
        </w:tc>
        <w:tc>
          <w:tcPr>
            <w:tcW w:w="2160" w:type="dxa"/>
            <w:tcBorders>
              <w:top w:val="single" w:sz="4" w:space="0" w:color="000000"/>
              <w:left w:val="nil"/>
              <w:bottom w:val="single" w:sz="4" w:space="0" w:color="000000"/>
              <w:right w:val="single" w:sz="4" w:space="0" w:color="000000"/>
            </w:tcBorders>
            <w:shd w:val="clear" w:color="auto" w:fill="D9D9D9"/>
          </w:tcPr>
          <w:p w:rsidR="00C25E94" w:rsidRDefault="00C25E94">
            <w:pPr>
              <w:spacing w:after="160" w:line="259" w:lineRule="auto"/>
              <w:ind w:left="0" w:right="0" w:firstLine="0"/>
              <w:jc w:val="left"/>
            </w:pPr>
          </w:p>
        </w:tc>
        <w:tc>
          <w:tcPr>
            <w:tcW w:w="990" w:type="dxa"/>
            <w:tcBorders>
              <w:top w:val="single" w:sz="4" w:space="0" w:color="000000"/>
              <w:left w:val="single" w:sz="4" w:space="0" w:color="000000"/>
              <w:bottom w:val="single" w:sz="4" w:space="0" w:color="000000"/>
              <w:right w:val="single" w:sz="4" w:space="0" w:color="000000"/>
            </w:tcBorders>
            <w:shd w:val="clear" w:color="auto" w:fill="D9D9D9"/>
          </w:tcPr>
          <w:p w:rsidR="00C25E94" w:rsidRDefault="00AA21AD">
            <w:pPr>
              <w:spacing w:after="0" w:line="259" w:lineRule="auto"/>
              <w:ind w:left="1" w:right="0" w:firstLine="0"/>
              <w:jc w:val="left"/>
            </w:pPr>
            <w:r>
              <w:rPr>
                <w:b/>
                <w:sz w:val="20"/>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D9D9D9"/>
          </w:tcPr>
          <w:p w:rsidR="00C25E94" w:rsidRDefault="00AA21AD">
            <w:pPr>
              <w:spacing w:after="0" w:line="259" w:lineRule="auto"/>
              <w:ind w:left="1"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shd w:val="clear" w:color="auto" w:fill="D9D9D9"/>
          </w:tcPr>
          <w:p w:rsidR="00C25E94" w:rsidRDefault="00AA21AD">
            <w:pPr>
              <w:spacing w:after="0" w:line="259" w:lineRule="auto"/>
              <w:ind w:left="1" w:right="0" w:firstLine="0"/>
              <w:jc w:val="left"/>
            </w:pPr>
            <w:r>
              <w:rPr>
                <w:b/>
                <w:sz w:val="20"/>
              </w:rPr>
              <w:t xml:space="preserve">  </w:t>
            </w:r>
          </w:p>
        </w:tc>
      </w:tr>
      <w:tr w:rsidR="00C25E94">
        <w:trPr>
          <w:trHeight w:val="272"/>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N/A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sz w:val="20"/>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r>
      <w:tr w:rsidR="00C25E94">
        <w:trPr>
          <w:trHeight w:val="307"/>
        </w:trPr>
        <w:tc>
          <w:tcPr>
            <w:tcW w:w="4224" w:type="dxa"/>
            <w:gridSpan w:val="2"/>
            <w:tcBorders>
              <w:top w:val="single" w:sz="4" w:space="0" w:color="000000"/>
              <w:left w:val="single" w:sz="4" w:space="0" w:color="000000"/>
              <w:bottom w:val="single" w:sz="4" w:space="0" w:color="000000"/>
              <w:right w:val="single" w:sz="4" w:space="0" w:color="000000"/>
            </w:tcBorders>
            <w:shd w:val="clear" w:color="auto" w:fill="D9D9D9"/>
          </w:tcPr>
          <w:p w:rsidR="00C25E94" w:rsidRDefault="00AA21AD">
            <w:pPr>
              <w:spacing w:after="0" w:line="259" w:lineRule="auto"/>
              <w:ind w:left="0" w:right="0" w:firstLine="0"/>
              <w:jc w:val="left"/>
            </w:pPr>
            <w:r>
              <w:rPr>
                <w:b/>
                <w:sz w:val="20"/>
              </w:rPr>
              <w:t xml:space="preserve">Research Problems (RP) </w:t>
            </w:r>
          </w:p>
        </w:tc>
        <w:tc>
          <w:tcPr>
            <w:tcW w:w="2160" w:type="dxa"/>
            <w:tcBorders>
              <w:top w:val="single" w:sz="4" w:space="0" w:color="000000"/>
              <w:left w:val="single" w:sz="4" w:space="0" w:color="000000"/>
              <w:bottom w:val="single" w:sz="4" w:space="0" w:color="000000"/>
              <w:right w:val="single" w:sz="4" w:space="0" w:color="000000"/>
            </w:tcBorders>
            <w:shd w:val="clear" w:color="auto" w:fill="D9D9D9"/>
          </w:tcPr>
          <w:p w:rsidR="00C25E94" w:rsidRDefault="00AA21AD">
            <w:pPr>
              <w:spacing w:after="0" w:line="259" w:lineRule="auto"/>
              <w:ind w:left="1" w:right="0" w:firstLine="0"/>
              <w:jc w:val="left"/>
            </w:pPr>
            <w:r>
              <w:rPr>
                <w:b/>
                <w:sz w:val="20"/>
              </w:rPr>
              <w:t xml:space="preserve">  </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Pr>
          <w:p w:rsidR="00C25E94" w:rsidRDefault="00AA21AD">
            <w:pPr>
              <w:spacing w:after="0" w:line="259" w:lineRule="auto"/>
              <w:ind w:left="1" w:right="0" w:firstLine="0"/>
              <w:jc w:val="left"/>
            </w:pPr>
            <w:r>
              <w:rPr>
                <w:b/>
                <w:sz w:val="20"/>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D9D9D9"/>
          </w:tcPr>
          <w:p w:rsidR="00C25E94" w:rsidRDefault="00AA21AD">
            <w:pPr>
              <w:spacing w:after="0" w:line="259" w:lineRule="auto"/>
              <w:ind w:left="1"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shd w:val="clear" w:color="auto" w:fill="D9D9D9"/>
          </w:tcPr>
          <w:p w:rsidR="00C25E94" w:rsidRDefault="00AA21AD">
            <w:pPr>
              <w:spacing w:after="0" w:line="259" w:lineRule="auto"/>
              <w:ind w:left="1" w:right="0" w:firstLine="0"/>
              <w:jc w:val="left"/>
            </w:pPr>
            <w:r>
              <w:rPr>
                <w:b/>
                <w:sz w:val="20"/>
              </w:rPr>
              <w:t xml:space="preserve">  </w:t>
            </w:r>
          </w:p>
        </w:tc>
      </w:tr>
      <w:tr w:rsidR="00C25E94">
        <w:trPr>
          <w:trHeight w:val="312"/>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RP1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RP1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RP2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RP2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RP3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RP3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r>
      <w:tr w:rsidR="00C25E94">
        <w:trPr>
          <w:trHeight w:val="311"/>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RP4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RP4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r>
      <w:tr w:rsidR="00C25E94">
        <w:trPr>
          <w:trHeight w:val="311"/>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RP5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RP5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r>
      <w:tr w:rsidR="00C25E94">
        <w:trPr>
          <w:trHeight w:val="307"/>
        </w:trPr>
        <w:tc>
          <w:tcPr>
            <w:tcW w:w="4224" w:type="dxa"/>
            <w:gridSpan w:val="2"/>
            <w:tcBorders>
              <w:top w:val="single" w:sz="4" w:space="0" w:color="000000"/>
              <w:left w:val="single" w:sz="4" w:space="0" w:color="000000"/>
              <w:bottom w:val="single" w:sz="4" w:space="0" w:color="000000"/>
              <w:right w:val="nil"/>
            </w:tcBorders>
            <w:shd w:val="clear" w:color="auto" w:fill="D9D9D9"/>
          </w:tcPr>
          <w:p w:rsidR="00C25E94" w:rsidRDefault="00AA21AD">
            <w:pPr>
              <w:spacing w:after="0" w:line="259" w:lineRule="auto"/>
              <w:ind w:left="0" w:right="0" w:firstLine="0"/>
              <w:jc w:val="left"/>
            </w:pPr>
            <w:r>
              <w:rPr>
                <w:b/>
                <w:sz w:val="20"/>
              </w:rPr>
              <w:t xml:space="preserve">Roger CPA Review Questions (RCPA) </w:t>
            </w:r>
          </w:p>
        </w:tc>
        <w:tc>
          <w:tcPr>
            <w:tcW w:w="2160" w:type="dxa"/>
            <w:tcBorders>
              <w:top w:val="single" w:sz="4" w:space="0" w:color="000000"/>
              <w:left w:val="nil"/>
              <w:bottom w:val="single" w:sz="4" w:space="0" w:color="000000"/>
              <w:right w:val="single" w:sz="4" w:space="0" w:color="000000"/>
            </w:tcBorders>
            <w:shd w:val="clear" w:color="auto" w:fill="D9D9D9"/>
          </w:tcPr>
          <w:p w:rsidR="00C25E94" w:rsidRDefault="00C25E94">
            <w:pPr>
              <w:spacing w:after="160" w:line="259" w:lineRule="auto"/>
              <w:ind w:left="0" w:right="0" w:firstLine="0"/>
              <w:jc w:val="left"/>
            </w:pPr>
          </w:p>
        </w:tc>
        <w:tc>
          <w:tcPr>
            <w:tcW w:w="990" w:type="dxa"/>
            <w:tcBorders>
              <w:top w:val="single" w:sz="4" w:space="0" w:color="000000"/>
              <w:left w:val="single" w:sz="4" w:space="0" w:color="000000"/>
              <w:bottom w:val="single" w:sz="4" w:space="0" w:color="000000"/>
              <w:right w:val="single" w:sz="4" w:space="0" w:color="000000"/>
            </w:tcBorders>
            <w:shd w:val="clear" w:color="auto" w:fill="D9D9D9"/>
          </w:tcPr>
          <w:p w:rsidR="00C25E94" w:rsidRDefault="00AA21AD">
            <w:pPr>
              <w:spacing w:after="0" w:line="259" w:lineRule="auto"/>
              <w:ind w:left="1" w:right="0" w:firstLine="0"/>
              <w:jc w:val="left"/>
            </w:pPr>
            <w:r>
              <w:rPr>
                <w:b/>
                <w:sz w:val="20"/>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D9D9D9"/>
          </w:tcPr>
          <w:p w:rsidR="00C25E94" w:rsidRDefault="00AA21AD">
            <w:pPr>
              <w:spacing w:after="0" w:line="259" w:lineRule="auto"/>
              <w:ind w:left="1"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shd w:val="clear" w:color="auto" w:fill="D9D9D9"/>
          </w:tcPr>
          <w:p w:rsidR="00C25E94" w:rsidRDefault="00AA21AD">
            <w:pPr>
              <w:spacing w:after="0" w:line="259" w:lineRule="auto"/>
              <w:ind w:left="1" w:right="0" w:firstLine="0"/>
              <w:jc w:val="left"/>
            </w:pPr>
            <w:r>
              <w:rPr>
                <w:b/>
                <w:sz w:val="20"/>
              </w:rPr>
              <w:t xml:space="preserve">  </w:t>
            </w:r>
          </w:p>
        </w:tc>
      </w:tr>
      <w:tr w:rsidR="00C25E94">
        <w:trPr>
          <w:trHeight w:val="312"/>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RCPA1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RCPA1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RCPA2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RCPA2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C25E94">
            <w:pPr>
              <w:spacing w:after="160" w:line="259" w:lineRule="auto"/>
              <w:ind w:left="0" w:right="0" w:firstLine="0"/>
              <w:jc w:val="left"/>
            </w:pP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RCPA3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RCPA3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r>
      <w:tr w:rsidR="00C25E94">
        <w:trPr>
          <w:trHeight w:val="311"/>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RCPA4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RCPA4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r>
      <w:tr w:rsidR="00C25E94">
        <w:trPr>
          <w:trHeight w:val="310"/>
        </w:trPr>
        <w:tc>
          <w:tcPr>
            <w:tcW w:w="215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rPr>
                <w:sz w:val="20"/>
              </w:rPr>
              <w:t xml:space="preserve">RCPA5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RCPA5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b/>
                <w:sz w:val="20"/>
              </w:rPr>
              <w:t xml:space="preserve">x </w:t>
            </w:r>
          </w:p>
        </w:tc>
        <w:tc>
          <w:tcPr>
            <w:tcW w:w="108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2" w:right="0" w:firstLine="0"/>
              <w:jc w:val="left"/>
            </w:pPr>
            <w:r>
              <w:rPr>
                <w:b/>
                <w:sz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left"/>
            </w:pPr>
            <w:r>
              <w:rPr>
                <w:sz w:val="20"/>
              </w:rPr>
              <w:t xml:space="preserve">  </w:t>
            </w:r>
          </w:p>
        </w:tc>
      </w:tr>
    </w:tbl>
    <w:p w:rsidR="00C25E94" w:rsidRDefault="00AA21AD">
      <w:pPr>
        <w:spacing w:after="0" w:line="259" w:lineRule="auto"/>
        <w:ind w:left="1080" w:right="0" w:firstLine="0"/>
        <w:jc w:val="left"/>
      </w:pPr>
      <w:r>
        <w:t xml:space="preserve"> </w:t>
      </w:r>
    </w:p>
    <w:p w:rsidR="00C25E94" w:rsidRDefault="00AA21AD">
      <w:pPr>
        <w:spacing w:after="0" w:line="259" w:lineRule="auto"/>
        <w:ind w:left="1080" w:right="0" w:firstLine="0"/>
        <w:jc w:val="left"/>
      </w:pPr>
      <w:r>
        <w:t xml:space="preserve"> </w:t>
      </w:r>
    </w:p>
    <w:p w:rsidR="00C25E94" w:rsidRDefault="00AA21AD">
      <w:pPr>
        <w:spacing w:after="0" w:line="259" w:lineRule="auto"/>
        <w:ind w:left="1080" w:right="0" w:firstLine="0"/>
        <w:jc w:val="left"/>
      </w:pPr>
      <w:r>
        <w:t xml:space="preserve"> </w:t>
      </w:r>
    </w:p>
    <w:p w:rsidR="00C25E94" w:rsidRDefault="00AA21AD">
      <w:pPr>
        <w:spacing w:after="6218" w:line="259" w:lineRule="auto"/>
        <w:ind w:left="1080" w:right="0" w:firstLine="0"/>
        <w:jc w:val="left"/>
      </w:pPr>
      <w:r>
        <w:t xml:space="preserve"> </w:t>
      </w:r>
    </w:p>
    <w:p w:rsidR="00C25E94" w:rsidRDefault="00AA21AD">
      <w:pPr>
        <w:spacing w:after="3" w:line="259" w:lineRule="auto"/>
        <w:ind w:left="1087" w:hanging="10"/>
        <w:jc w:val="center"/>
      </w:pPr>
      <w:r>
        <w:rPr>
          <w:b/>
        </w:rPr>
        <w:lastRenderedPageBreak/>
        <w:t xml:space="preserve">EOC 3-3 </w:t>
      </w:r>
    </w:p>
    <w:p w:rsidR="00C25E94" w:rsidRDefault="00AA21AD">
      <w:pPr>
        <w:spacing w:after="0" w:line="259" w:lineRule="auto"/>
        <w:ind w:left="0" w:right="537" w:firstLine="0"/>
        <w:jc w:val="right"/>
      </w:pPr>
      <w:r>
        <w:rPr>
          <w:rFonts w:ascii="Calibri" w:eastAsia="Calibri" w:hAnsi="Calibri" w:cs="Calibri"/>
        </w:rPr>
        <w:t xml:space="preserve"> </w:t>
      </w:r>
    </w:p>
    <w:p w:rsidR="00C25E94" w:rsidRDefault="00AA21AD">
      <w:pPr>
        <w:spacing w:after="424" w:line="259" w:lineRule="auto"/>
        <w:ind w:left="0" w:right="5894" w:firstLine="0"/>
        <w:jc w:val="right"/>
      </w:pPr>
      <w:r>
        <w:rPr>
          <w:rFonts w:ascii="Calibri" w:eastAsia="Calibri" w:hAnsi="Calibri" w:cs="Calibri"/>
        </w:rPr>
        <w:t xml:space="preserve"> </w:t>
      </w:r>
    </w:p>
    <w:p w:rsidR="00C25E94" w:rsidRDefault="00AA21AD">
      <w:pPr>
        <w:spacing w:after="0" w:line="259" w:lineRule="auto"/>
        <w:ind w:left="0" w:right="0" w:firstLine="0"/>
        <w:jc w:val="left"/>
      </w:pPr>
      <w:r>
        <w:t xml:space="preserve"> </w:t>
      </w:r>
    </w:p>
    <w:p w:rsidR="00C25E94" w:rsidRDefault="00AA21AD">
      <w:pPr>
        <w:spacing w:after="12889" w:line="259" w:lineRule="auto"/>
        <w:ind w:left="0" w:right="0" w:firstLine="0"/>
        <w:jc w:val="left"/>
      </w:pPr>
      <w:r>
        <w:t xml:space="preserve"> </w:t>
      </w:r>
    </w:p>
    <w:p w:rsidR="00C25E94" w:rsidRDefault="00AA21AD">
      <w:pPr>
        <w:spacing w:after="0" w:line="259" w:lineRule="auto"/>
        <w:ind w:left="0" w:right="0" w:firstLine="0"/>
        <w:jc w:val="left"/>
      </w:pPr>
      <w:r>
        <w:rPr>
          <w:rFonts w:ascii="Calibri" w:eastAsia="Calibri" w:hAnsi="Calibri" w:cs="Calibri"/>
        </w:rPr>
        <w:lastRenderedPageBreak/>
        <w:t xml:space="preserve"> </w:t>
      </w:r>
    </w:p>
    <w:p w:rsidR="00C25E94" w:rsidRDefault="00AA21AD">
      <w:pPr>
        <w:spacing w:after="0" w:line="259" w:lineRule="auto"/>
        <w:ind w:left="1080" w:right="0" w:firstLine="0"/>
        <w:jc w:val="left"/>
      </w:pPr>
      <w:r>
        <w:t xml:space="preserve"> </w:t>
      </w:r>
    </w:p>
    <w:p w:rsidR="00C25E94" w:rsidRDefault="00AA21AD">
      <w:pPr>
        <w:spacing w:after="0" w:line="259" w:lineRule="auto"/>
        <w:ind w:left="1080" w:right="0" w:firstLine="0"/>
        <w:jc w:val="left"/>
      </w:pPr>
      <w:r>
        <w:t xml:space="preserve"> </w:t>
      </w:r>
    </w:p>
    <w:p w:rsidR="00C25E94" w:rsidRDefault="00AA21AD">
      <w:pPr>
        <w:spacing w:after="0" w:line="259" w:lineRule="auto"/>
        <w:ind w:left="1080" w:right="0" w:firstLine="0"/>
        <w:jc w:val="left"/>
      </w:pPr>
      <w:r>
        <w:t xml:space="preserve"> </w:t>
      </w:r>
    </w:p>
    <w:p w:rsidR="00C25E94" w:rsidRDefault="00AA21AD">
      <w:pPr>
        <w:spacing w:after="0" w:line="259" w:lineRule="auto"/>
        <w:ind w:left="1080" w:right="0" w:firstLine="0"/>
        <w:jc w:val="left"/>
      </w:pPr>
      <w:r>
        <w:t xml:space="preserve"> </w:t>
      </w:r>
    </w:p>
    <w:p w:rsidR="00C25E94" w:rsidRDefault="00AA21AD">
      <w:pPr>
        <w:spacing w:after="0" w:line="259" w:lineRule="auto"/>
        <w:ind w:left="1080" w:right="0" w:firstLine="0"/>
        <w:jc w:val="left"/>
      </w:pPr>
      <w:r>
        <w:t xml:space="preserve"> </w:t>
      </w:r>
    </w:p>
    <w:p w:rsidR="00C25E94" w:rsidRDefault="00AA21AD">
      <w:pPr>
        <w:spacing w:after="205" w:line="259" w:lineRule="auto"/>
        <w:ind w:left="1087" w:right="0" w:hanging="10"/>
        <w:jc w:val="center"/>
      </w:pPr>
      <w:r>
        <w:rPr>
          <w:b/>
        </w:rPr>
        <w:t xml:space="preserve">CHAPTER 3 </w:t>
      </w:r>
    </w:p>
    <w:p w:rsidR="00C25E94" w:rsidRDefault="00AA21AD">
      <w:pPr>
        <w:spacing w:after="205" w:line="259" w:lineRule="auto"/>
        <w:ind w:left="1087" w:hanging="10"/>
        <w:jc w:val="center"/>
      </w:pPr>
      <w:r>
        <w:rPr>
          <w:b/>
        </w:rPr>
        <w:t xml:space="preserve">CORPORATIONS: SPECIAL SITUATIONS </w:t>
      </w:r>
    </w:p>
    <w:p w:rsidR="00C25E94" w:rsidRDefault="00AA21AD">
      <w:pPr>
        <w:spacing w:after="3" w:line="259" w:lineRule="auto"/>
        <w:ind w:left="1087" w:right="3" w:hanging="10"/>
        <w:jc w:val="center"/>
      </w:pPr>
      <w:r>
        <w:rPr>
          <w:b/>
        </w:rPr>
        <w:t xml:space="preserve">SOLUTIONS TO PROBLEM MATERIALS </w:t>
      </w:r>
    </w:p>
    <w:p w:rsidR="00C25E94" w:rsidRDefault="00AA21AD">
      <w:pPr>
        <w:spacing w:after="0" w:line="259" w:lineRule="auto"/>
        <w:ind w:left="1080" w:right="0" w:firstLine="0"/>
        <w:jc w:val="left"/>
      </w:pPr>
      <w:r>
        <w:t xml:space="preserve"> </w:t>
      </w:r>
    </w:p>
    <w:p w:rsidR="00C25E94" w:rsidRDefault="00AA21AD">
      <w:pPr>
        <w:spacing w:after="0" w:line="259" w:lineRule="auto"/>
        <w:ind w:left="1080" w:right="0" w:firstLine="0"/>
        <w:jc w:val="left"/>
      </w:pPr>
      <w:r>
        <w:t xml:space="preserve"> </w:t>
      </w:r>
    </w:p>
    <w:p w:rsidR="00C25E94" w:rsidRDefault="00AA21AD">
      <w:pPr>
        <w:spacing w:after="0" w:line="259" w:lineRule="auto"/>
        <w:ind w:left="1080" w:right="0" w:firstLine="0"/>
        <w:jc w:val="left"/>
      </w:pPr>
      <w:r>
        <w:t xml:space="preserve"> </w:t>
      </w:r>
    </w:p>
    <w:p w:rsidR="00C25E94" w:rsidRDefault="00AA21AD">
      <w:pPr>
        <w:pStyle w:val="Heading1"/>
        <w:ind w:left="1090"/>
      </w:pPr>
      <w:r>
        <w:t xml:space="preserve">DISCUSSION QUESTIONS </w:t>
      </w:r>
    </w:p>
    <w:p w:rsidR="00C25E94" w:rsidRDefault="00AA21AD">
      <w:pPr>
        <w:spacing w:after="0" w:line="259" w:lineRule="auto"/>
        <w:ind w:left="2492" w:right="0" w:firstLine="0"/>
        <w:jc w:val="left"/>
      </w:pPr>
      <w:r>
        <w:rPr>
          <w:b/>
        </w:rPr>
        <w:t xml:space="preserve"> </w:t>
      </w:r>
    </w:p>
    <w:p w:rsidR="00C25E94" w:rsidRDefault="00AA21AD">
      <w:pPr>
        <w:numPr>
          <w:ilvl w:val="0"/>
          <w:numId w:val="1"/>
        </w:numPr>
        <w:spacing w:after="247"/>
        <w:ind w:right="43" w:hanging="720"/>
      </w:pPr>
      <w:r>
        <w:t>(LO 1) This deduction is available to a variety of taxpayers including individuals, corporations, partnerships, S corporations, cooperatives, estates, and trust</w:t>
      </w:r>
      <w:r>
        <w:t xml:space="preserve">s. It is apt to be found more frequently among corporations (both C and S types) rather than individuals. The reason is that manufacturing activities require capital, which is more easily raised through the corporate form.  </w:t>
      </w:r>
    </w:p>
    <w:p w:rsidR="00C25E94" w:rsidRDefault="00AA21AD">
      <w:pPr>
        <w:numPr>
          <w:ilvl w:val="0"/>
          <w:numId w:val="1"/>
        </w:numPr>
        <w:ind w:right="43" w:hanging="720"/>
      </w:pPr>
      <w:r>
        <w:t xml:space="preserve">(LO 1, 2, 3, 4, 5) </w:t>
      </w:r>
    </w:p>
    <w:p w:rsidR="00C25E94" w:rsidRDefault="00AA21AD">
      <w:pPr>
        <w:numPr>
          <w:ilvl w:val="1"/>
          <w:numId w:val="1"/>
        </w:numPr>
        <w:spacing w:after="161"/>
        <w:ind w:left="1074" w:right="43" w:hanging="721"/>
      </w:pPr>
      <w:r>
        <w:t>DPAD cannot</w:t>
      </w:r>
      <w:r>
        <w:t xml:space="preserve"> exceed 50% of W–2 wages.   </w:t>
      </w:r>
    </w:p>
    <w:p w:rsidR="00C25E94" w:rsidRDefault="00AA21AD">
      <w:pPr>
        <w:numPr>
          <w:ilvl w:val="1"/>
          <w:numId w:val="1"/>
        </w:numPr>
        <w:spacing w:after="187"/>
        <w:ind w:left="1074" w:right="43" w:hanging="721"/>
      </w:pPr>
      <w:r>
        <w:t xml:space="preserve">DPAD is a percentage (currently 9%) of the lesser of QPAI or TI, but not to exceed 50% of W–2 wages. </w:t>
      </w:r>
    </w:p>
    <w:p w:rsidR="00C25E94" w:rsidRDefault="00AA21AD">
      <w:pPr>
        <w:numPr>
          <w:ilvl w:val="1"/>
          <w:numId w:val="1"/>
        </w:numPr>
        <w:spacing w:after="188"/>
        <w:ind w:left="1074" w:right="43" w:hanging="721"/>
      </w:pPr>
      <w:r>
        <w:t xml:space="preserve">DPAD is limited to 9% of the lesser of taxable income or QPAI. </w:t>
      </w:r>
    </w:p>
    <w:p w:rsidR="00C25E94" w:rsidRDefault="00AA21AD">
      <w:pPr>
        <w:numPr>
          <w:ilvl w:val="1"/>
          <w:numId w:val="1"/>
        </w:numPr>
        <w:spacing w:after="188"/>
        <w:ind w:left="1074" w:right="43" w:hanging="721"/>
      </w:pPr>
      <w:r>
        <w:t xml:space="preserve">DPGR, when reduced by CGS and direct and indirect expenses, becomes QPAI. </w:t>
      </w:r>
    </w:p>
    <w:p w:rsidR="00C25E94" w:rsidRDefault="00AA21AD">
      <w:pPr>
        <w:numPr>
          <w:ilvl w:val="1"/>
          <w:numId w:val="1"/>
        </w:numPr>
        <w:spacing w:after="188"/>
        <w:ind w:left="1074" w:right="43" w:hanging="721"/>
      </w:pPr>
      <w:r>
        <w:t xml:space="preserve">DPAD is allowed for purposes of the AMT.   </w:t>
      </w:r>
    </w:p>
    <w:p w:rsidR="00C25E94" w:rsidRDefault="00AA21AD">
      <w:pPr>
        <w:numPr>
          <w:ilvl w:val="0"/>
          <w:numId w:val="1"/>
        </w:numPr>
        <w:ind w:right="43" w:hanging="720"/>
      </w:pPr>
      <w:r>
        <w:t xml:space="preserve">(LO 3) </w:t>
      </w:r>
    </w:p>
    <w:p w:rsidR="00C25E94" w:rsidRDefault="00AA21AD">
      <w:pPr>
        <w:numPr>
          <w:ilvl w:val="1"/>
          <w:numId w:val="1"/>
        </w:numPr>
        <w:spacing w:after="181"/>
        <w:ind w:left="1074" w:right="43" w:hanging="721"/>
      </w:pPr>
      <w:r>
        <w:t xml:space="preserve">Yes. An overall </w:t>
      </w:r>
      <w:r>
        <w:rPr>
          <w:i/>
        </w:rPr>
        <w:t xml:space="preserve">de minimis </w:t>
      </w:r>
      <w:r>
        <w:t>safe harbor test is applicable when small amounts of non-DPGR are present. A taxpayer with less than 5</w:t>
      </w:r>
      <w:r>
        <w:t xml:space="preserve">% of total gross receipts from non-DPGR may treat all gross receipts as DPGR and avoid the need to allocate.  </w:t>
      </w:r>
    </w:p>
    <w:p w:rsidR="00C25E94" w:rsidRDefault="00AA21AD">
      <w:pPr>
        <w:numPr>
          <w:ilvl w:val="1"/>
          <w:numId w:val="1"/>
        </w:numPr>
        <w:spacing w:after="181"/>
        <w:ind w:left="1074" w:right="43" w:hanging="721"/>
      </w:pPr>
      <w:r>
        <w:t xml:space="preserve">Yes, when the benefits to be derived from § 199 are so minimal that the cost of compliance is not worth the tax savings that will result.  </w:t>
      </w:r>
    </w:p>
    <w:p w:rsidR="00C25E94" w:rsidRDefault="00AA21AD">
      <w:pPr>
        <w:numPr>
          <w:ilvl w:val="1"/>
          <w:numId w:val="1"/>
        </w:numPr>
        <w:spacing w:after="228"/>
        <w:ind w:left="1074" w:right="43" w:hanging="721"/>
      </w:pPr>
      <w:r>
        <w:t>Where</w:t>
      </w:r>
      <w:r>
        <w:t xml:space="preserve"> the cost of compliance is not worth the tax savings, a reverse </w:t>
      </w:r>
      <w:r>
        <w:rPr>
          <w:i/>
        </w:rPr>
        <w:t>de minimis</w:t>
      </w:r>
      <w:r>
        <w:t xml:space="preserve"> safe harbor exists. Under this provision, a taxpayer can treat all of its receipts as non-DPGR if less than 5% of the total is DPGR.  </w:t>
      </w:r>
    </w:p>
    <w:p w:rsidR="00C25E94" w:rsidRDefault="00AA21AD">
      <w:pPr>
        <w:numPr>
          <w:ilvl w:val="0"/>
          <w:numId w:val="1"/>
        </w:numPr>
        <w:ind w:right="43" w:hanging="720"/>
      </w:pPr>
      <w:r>
        <w:t xml:space="preserve">(LO 3, 11) </w:t>
      </w:r>
    </w:p>
    <w:p w:rsidR="00C25E94" w:rsidRDefault="00AA21AD">
      <w:pPr>
        <w:numPr>
          <w:ilvl w:val="1"/>
          <w:numId w:val="1"/>
        </w:numPr>
        <w:spacing w:after="180"/>
        <w:ind w:left="1074" w:right="43" w:hanging="721"/>
      </w:pPr>
      <w:r>
        <w:t>When the sale of a product entails</w:t>
      </w:r>
      <w:r>
        <w:t xml:space="preserve"> the rendition of a service regarding that product, the service element is embedded in the selling price.  </w:t>
      </w:r>
    </w:p>
    <w:p w:rsidR="00C25E94" w:rsidRDefault="00AA21AD">
      <w:pPr>
        <w:numPr>
          <w:ilvl w:val="1"/>
          <w:numId w:val="1"/>
        </w:numPr>
        <w:spacing w:after="182"/>
        <w:ind w:left="1074" w:right="43" w:hanging="721"/>
      </w:pPr>
      <w:r>
        <w:t xml:space="preserve">Examples of embedded services include product warranties, maintenance arrangements, training in product use, and customer call-in assistance.  </w:t>
      </w:r>
    </w:p>
    <w:p w:rsidR="00C25E94" w:rsidRDefault="00AA21AD">
      <w:pPr>
        <w:numPr>
          <w:ilvl w:val="1"/>
          <w:numId w:val="1"/>
        </w:numPr>
        <w:spacing w:after="995"/>
        <w:ind w:left="1074" w:right="43" w:hanging="721"/>
      </w:pPr>
      <w:r>
        <w:t>When</w:t>
      </w:r>
      <w:r>
        <w:t xml:space="preserve"> the embedded service is not separately priced or when its cost meets a 5% </w:t>
      </w:r>
      <w:r>
        <w:rPr>
          <w:i/>
        </w:rPr>
        <w:t>de minimis</w:t>
      </w:r>
      <w:r>
        <w:t xml:space="preserve"> test, it can be included in DPGR.  </w:t>
      </w:r>
    </w:p>
    <w:p w:rsidR="00C25E94" w:rsidRDefault="00AA21AD">
      <w:pPr>
        <w:spacing w:after="3" w:line="259" w:lineRule="auto"/>
        <w:ind w:left="1087" w:right="0" w:hanging="10"/>
        <w:jc w:val="center"/>
      </w:pPr>
      <w:r>
        <w:rPr>
          <w:b/>
        </w:rPr>
        <w:lastRenderedPageBreak/>
        <w:t xml:space="preserve">3-1 </w:t>
      </w:r>
    </w:p>
    <w:p w:rsidR="00C25E94" w:rsidRDefault="00C25E94">
      <w:pPr>
        <w:sectPr w:rsidR="00C25E94">
          <w:headerReference w:type="even" r:id="rId7"/>
          <w:headerReference w:type="default" r:id="rId8"/>
          <w:footerReference w:type="even" r:id="rId9"/>
          <w:footerReference w:type="default" r:id="rId10"/>
          <w:headerReference w:type="first" r:id="rId11"/>
          <w:footerReference w:type="first" r:id="rId12"/>
          <w:pgSz w:w="12240" w:h="15840"/>
          <w:pgMar w:top="755" w:right="716" w:bottom="699" w:left="720" w:header="720" w:footer="720" w:gutter="0"/>
          <w:cols w:space="720"/>
        </w:sectPr>
      </w:pPr>
    </w:p>
    <w:p w:rsidR="00C25E94" w:rsidRDefault="00AA21AD">
      <w:pPr>
        <w:numPr>
          <w:ilvl w:val="0"/>
          <w:numId w:val="1"/>
        </w:numPr>
        <w:ind w:right="43" w:hanging="720"/>
      </w:pPr>
      <w:r>
        <w:lastRenderedPageBreak/>
        <w:t xml:space="preserve">(LO </w:t>
      </w:r>
      <w:r>
        <w:t xml:space="preserve">3, 11) </w:t>
      </w:r>
    </w:p>
    <w:p w:rsidR="00C25E94" w:rsidRDefault="00AA21AD">
      <w:pPr>
        <w:numPr>
          <w:ilvl w:val="1"/>
          <w:numId w:val="1"/>
        </w:numPr>
        <w:spacing w:after="182"/>
        <w:ind w:left="1074" w:right="43" w:hanging="721"/>
      </w:pPr>
      <w:r>
        <w:t xml:space="preserve">DPGR refers to domestic production. Foreign production is allowed, however, but only if the domestic portion remains “significant,” as defined in part b. below.  </w:t>
      </w:r>
    </w:p>
    <w:p w:rsidR="00C25E94" w:rsidRDefault="00AA21AD">
      <w:pPr>
        <w:numPr>
          <w:ilvl w:val="1"/>
          <w:numId w:val="1"/>
        </w:numPr>
        <w:spacing w:after="180"/>
        <w:ind w:left="1074" w:right="43" w:hanging="721"/>
      </w:pPr>
      <w:r>
        <w:t xml:space="preserve">Significant means substantial. A safe harbor exists in meeting this definition when the U.S. costs account for 20% or more of the total CGS of the property.  </w:t>
      </w:r>
    </w:p>
    <w:p w:rsidR="00C25E94" w:rsidRDefault="00AA21AD">
      <w:pPr>
        <w:numPr>
          <w:ilvl w:val="1"/>
          <w:numId w:val="1"/>
        </w:numPr>
        <w:ind w:left="1074" w:right="43" w:hanging="721"/>
      </w:pPr>
      <w:r>
        <w:t>The problem will arise quite frequently because the components of many U.S. goods are produced by</w:t>
      </w:r>
      <w:r>
        <w:t xml:space="preserve"> foreign affiliates. </w:t>
      </w:r>
    </w:p>
    <w:p w:rsidR="00C25E94" w:rsidRDefault="00AA21AD">
      <w:pPr>
        <w:spacing w:after="0" w:line="259" w:lineRule="auto"/>
        <w:ind w:left="0" w:right="0" w:firstLine="0"/>
        <w:jc w:val="left"/>
      </w:pPr>
      <w:r>
        <w:t xml:space="preserve"> </w:t>
      </w:r>
    </w:p>
    <w:p w:rsidR="00C25E94" w:rsidRDefault="00AA21AD">
      <w:pPr>
        <w:numPr>
          <w:ilvl w:val="0"/>
          <w:numId w:val="1"/>
        </w:numPr>
        <w:ind w:right="43" w:hanging="720"/>
      </w:pPr>
      <w:r>
        <w:t xml:space="preserve">(LO 3, 5) </w:t>
      </w:r>
    </w:p>
    <w:p w:rsidR="00C25E94" w:rsidRDefault="00AA21AD">
      <w:pPr>
        <w:numPr>
          <w:ilvl w:val="1"/>
          <w:numId w:val="1"/>
        </w:numPr>
        <w:spacing w:after="181"/>
        <w:ind w:left="1074" w:right="43" w:hanging="721"/>
      </w:pPr>
      <w:r>
        <w:t xml:space="preserve">Section 199(c)(4)(B)(i) specifically excludes from DPGR any receipts from the sale of food and beverages by a taxpayer at retail. Frozen prepared foods sold to grocery stores, however, will qualify. </w:t>
      </w:r>
    </w:p>
    <w:p w:rsidR="00C25E94" w:rsidRDefault="00AA21AD">
      <w:pPr>
        <w:numPr>
          <w:ilvl w:val="1"/>
          <w:numId w:val="1"/>
        </w:numPr>
        <w:spacing w:after="182"/>
        <w:ind w:left="1074" w:right="43" w:hanging="721"/>
      </w:pPr>
      <w:r>
        <w:t>No, it would not matt</w:t>
      </w:r>
      <w:r>
        <w:t xml:space="preserve">er. Reg. § 1.199–3(o) states that take-out and delivery services will be treated the same as prepared meals served on the premises. </w:t>
      </w:r>
    </w:p>
    <w:p w:rsidR="00C25E94" w:rsidRDefault="00AA21AD">
      <w:pPr>
        <w:numPr>
          <w:ilvl w:val="0"/>
          <w:numId w:val="1"/>
        </w:numPr>
        <w:spacing w:after="180"/>
        <w:ind w:right="43" w:hanging="720"/>
      </w:pPr>
      <w:r>
        <w:t>(LO 5) The DPAD is allowed for purposes of the alternative minimum tax (AMT), except that the deduction is equal to 9% of t</w:t>
      </w:r>
      <w:r>
        <w:t xml:space="preserve">he smaller of (1) QPAI or (2) alternative minimum taxable income (without considering the DPAD) for the tax year. In the case of an individual, modified AGI (ignoring the DPAD) is substituted for AMTI. </w:t>
      </w:r>
    </w:p>
    <w:p w:rsidR="00C25E94" w:rsidRDefault="00AA21AD">
      <w:pPr>
        <w:numPr>
          <w:ilvl w:val="0"/>
          <w:numId w:val="1"/>
        </w:numPr>
        <w:spacing w:after="181"/>
        <w:ind w:right="43" w:hanging="720"/>
      </w:pPr>
      <w:r>
        <w:t xml:space="preserve">(LO 6) Technically, this statement is incorrect. The </w:t>
      </w:r>
      <w:r>
        <w:t>AMT is a separate tax system with a quasi-flat tax rate which is applied each year to a corporation’s economic income. If the tentative minimum tax is greater than the regular corporate income tax under § 11, then the corporation must pay the regular tax p</w:t>
      </w:r>
      <w:r>
        <w:t xml:space="preserve">lus this excess, the alternative minimum tax (AMT). </w:t>
      </w:r>
    </w:p>
    <w:p w:rsidR="00C25E94" w:rsidRDefault="00AA21AD">
      <w:pPr>
        <w:numPr>
          <w:ilvl w:val="0"/>
          <w:numId w:val="1"/>
        </w:numPr>
        <w:spacing w:after="189"/>
        <w:ind w:right="43" w:hanging="720"/>
      </w:pPr>
      <w:r>
        <w:t xml:space="preserve">(LO 6) A corporation initially qualifies as a small corporation in its first tax year in existence regardless of its gross receipts. After the initial year, the exemption applies if two requirements are </w:t>
      </w:r>
      <w:r>
        <w:t xml:space="preserve">met. </w:t>
      </w:r>
    </w:p>
    <w:p w:rsidR="00C25E94" w:rsidRDefault="00AA21AD">
      <w:pPr>
        <w:numPr>
          <w:ilvl w:val="1"/>
          <w:numId w:val="3"/>
        </w:numPr>
        <w:spacing w:after="188"/>
        <w:ind w:right="43" w:hanging="360"/>
      </w:pPr>
      <w:r>
        <w:t xml:space="preserve">The corporation must have been treated as a small corporation exempt from the AMT for all prior years beginning after 1997, and </w:t>
      </w:r>
    </w:p>
    <w:p w:rsidR="00C25E94" w:rsidRDefault="00AA21AD">
      <w:pPr>
        <w:numPr>
          <w:ilvl w:val="1"/>
          <w:numId w:val="3"/>
        </w:numPr>
        <w:spacing w:after="208"/>
        <w:ind w:right="43" w:hanging="360"/>
      </w:pPr>
      <w:r>
        <w:t>Average annual gross receipts for the three-year tax period (or portion thereof during which the corporation was in existence) ending before its tax year beginning in 2017 did not exceed $7.5 million ($5 million if the corporation has only one prior year).</w:t>
      </w:r>
      <w:r>
        <w:t xml:space="preserve"> </w:t>
      </w:r>
    </w:p>
    <w:p w:rsidR="00C25E94" w:rsidRDefault="00AA21AD">
      <w:pPr>
        <w:spacing w:after="219"/>
        <w:ind w:left="705" w:right="43" w:hanging="720"/>
      </w:pPr>
      <w:r>
        <w:t xml:space="preserve"> </w:t>
      </w:r>
      <w:r>
        <w:tab/>
        <w:t xml:space="preserve">Thus, the $5 million rule only applies in testing for the second year of a new corporation’s life. So if a corporation had gross receipts of $5 million or less its first year, the second year is exempted.   </w:t>
      </w:r>
    </w:p>
    <w:p w:rsidR="00C25E94" w:rsidRDefault="00AA21AD">
      <w:pPr>
        <w:numPr>
          <w:ilvl w:val="0"/>
          <w:numId w:val="1"/>
        </w:numPr>
        <w:spacing w:after="231"/>
        <w:ind w:right="43" w:hanging="720"/>
      </w:pPr>
      <w:r>
        <w:t>(LO 6, 7) Tax preference items are only posi</w:t>
      </w:r>
      <w:r>
        <w:t xml:space="preserve">tive. Adjustments are often timing differences and may be positive or negative.  </w:t>
      </w:r>
    </w:p>
    <w:p w:rsidR="00C25E94" w:rsidRDefault="00AA21AD">
      <w:pPr>
        <w:numPr>
          <w:ilvl w:val="0"/>
          <w:numId w:val="1"/>
        </w:numPr>
        <w:ind w:right="43" w:hanging="720"/>
      </w:pPr>
      <w:r>
        <w:t>(LO 7) A personal holding company (PHC) that deducts circulation expenditures currently for regular tax purposes must capitalize them and amortize them over three years for A</w:t>
      </w:r>
      <w:r>
        <w:t xml:space="preserve">MT purposes. So, by capitalizing and amortizing them over three years for regular tax purposes, the PHC avoids the AMT positive adjustment. </w:t>
      </w:r>
    </w:p>
    <w:p w:rsidR="00C25E94" w:rsidRDefault="00AA21AD">
      <w:pPr>
        <w:spacing w:after="0" w:line="259" w:lineRule="auto"/>
        <w:ind w:left="0" w:right="0" w:firstLine="0"/>
        <w:jc w:val="left"/>
      </w:pPr>
      <w:r>
        <w:t xml:space="preserve"> </w:t>
      </w:r>
    </w:p>
    <w:p w:rsidR="00C25E94" w:rsidRDefault="00AA21AD">
      <w:pPr>
        <w:numPr>
          <w:ilvl w:val="0"/>
          <w:numId w:val="1"/>
        </w:numPr>
        <w:ind w:right="43" w:hanging="720"/>
      </w:pPr>
      <w:r>
        <w:t xml:space="preserve">(LO 7) Cost depletion is not available once the taxpayer’s mineral basis drops to zero. But percentage depletion </w:t>
      </w:r>
      <w:r>
        <w:t xml:space="preserve">is based on gross income from the mineral property and not the company’s investment in the </w:t>
      </w:r>
      <w:r>
        <w:lastRenderedPageBreak/>
        <w:t xml:space="preserve">property. Since the percentage depletion deduction can exceed the property basis, any percentage depletion in excess of the property basis is a tax preference item. </w:t>
      </w:r>
    </w:p>
    <w:p w:rsidR="00C25E94" w:rsidRDefault="00AA21AD">
      <w:pPr>
        <w:spacing w:after="0" w:line="259" w:lineRule="auto"/>
        <w:ind w:left="0" w:right="0" w:firstLine="0"/>
        <w:jc w:val="left"/>
      </w:pPr>
      <w:r>
        <w:t xml:space="preserve"> </w:t>
      </w:r>
    </w:p>
    <w:p w:rsidR="00C25E94" w:rsidRDefault="00AA21AD">
      <w:pPr>
        <w:numPr>
          <w:ilvl w:val="0"/>
          <w:numId w:val="1"/>
        </w:numPr>
        <w:spacing w:after="174"/>
        <w:ind w:right="43" w:hanging="720"/>
      </w:pPr>
      <w:r>
        <w:t xml:space="preserve">(LO 7) The AMT IDC preference is computed using a two-step process, as follows: </w:t>
      </w:r>
    </w:p>
    <w:p w:rsidR="00C25E94" w:rsidRDefault="00AA21AD">
      <w:pPr>
        <w:ind w:left="2162" w:right="43"/>
      </w:pPr>
      <w:r>
        <w:t xml:space="preserve">IDC expensed during the year </w:t>
      </w:r>
    </w:p>
    <w:p w:rsidR="00C25E94" w:rsidRDefault="00AA21AD">
      <w:pPr>
        <w:tabs>
          <w:tab w:val="center" w:pos="2112"/>
          <w:tab w:val="center" w:pos="6882"/>
        </w:tabs>
        <w:ind w:left="0" w:right="0" w:firstLine="0"/>
        <w:jc w:val="left"/>
      </w:pPr>
      <w:r>
        <w:rPr>
          <w:rFonts w:ascii="Calibri" w:eastAsia="Calibri" w:hAnsi="Calibri" w:cs="Calibri"/>
        </w:rPr>
        <w:tab/>
      </w:r>
      <w:r>
        <w:t xml:space="preserve">Minus: </w:t>
      </w:r>
      <w:r>
        <w:tab/>
        <w:t xml:space="preserve">AMT IDCs (the deduction if IDC were capitalized and amortized over 120 months </w:t>
      </w:r>
    </w:p>
    <w:p w:rsidR="00C25E94" w:rsidRDefault="00AA21AD">
      <w:pPr>
        <w:tabs>
          <w:tab w:val="center" w:pos="4303"/>
          <w:tab w:val="center" w:pos="6121"/>
          <w:tab w:val="center" w:pos="6841"/>
          <w:tab w:val="center" w:pos="7561"/>
          <w:tab w:val="center" w:pos="8281"/>
          <w:tab w:val="center" w:pos="9001"/>
          <w:tab w:val="center" w:pos="9721"/>
          <w:tab w:val="center" w:pos="10441"/>
        </w:tabs>
        <w:spacing w:after="3"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column">
                  <wp:posOffset>1371602</wp:posOffset>
                </wp:positionH>
                <wp:positionV relativeFrom="paragraph">
                  <wp:posOffset>111930</wp:posOffset>
                </wp:positionV>
                <wp:extent cx="4572000" cy="6858"/>
                <wp:effectExtent l="0" t="0" r="0" b="0"/>
                <wp:wrapNone/>
                <wp:docPr id="43603" name="Group 43603"/>
                <wp:cNvGraphicFramePr/>
                <a:graphic xmlns:a="http://schemas.openxmlformats.org/drawingml/2006/main">
                  <a:graphicData uri="http://schemas.microsoft.com/office/word/2010/wordprocessingGroup">
                    <wpg:wgp>
                      <wpg:cNvGrpSpPr/>
                      <wpg:grpSpPr>
                        <a:xfrm>
                          <a:off x="0" y="0"/>
                          <a:ext cx="4572000" cy="6858"/>
                          <a:chOff x="0" y="0"/>
                          <a:chExt cx="4572000" cy="6858"/>
                        </a:xfrm>
                      </wpg:grpSpPr>
                      <wps:wsp>
                        <wps:cNvPr id="63022" name="Shape 63022"/>
                        <wps:cNvSpPr/>
                        <wps:spPr>
                          <a:xfrm>
                            <a:off x="0" y="0"/>
                            <a:ext cx="4572000" cy="9144"/>
                          </a:xfrm>
                          <a:custGeom>
                            <a:avLst/>
                            <a:gdLst/>
                            <a:ahLst/>
                            <a:cxnLst/>
                            <a:rect l="0" t="0" r="0" b="0"/>
                            <a:pathLst>
                              <a:path w="4572000" h="9144">
                                <a:moveTo>
                                  <a:pt x="0" y="0"/>
                                </a:moveTo>
                                <a:lnTo>
                                  <a:pt x="4572000" y="0"/>
                                </a:lnTo>
                                <a:lnTo>
                                  <a:pt x="4572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3603" style="width:360pt;height:0.539993pt;position:absolute;z-index:10;mso-position-horizontal-relative:text;mso-position-horizontal:absolute;margin-left:108pt;mso-position-vertical-relative:text;margin-top:8.81341pt;" coordsize="45720,68">
                <v:shape id="Shape 63023" style="position:absolute;width:45720;height:91;left:0;top:0;" coordsize="4572000,9144" path="m0,0l4572000,0l4572000,9144l0,9144l0,0">
                  <v:stroke weight="0pt" endcap="flat" joinstyle="miter" miterlimit="10" on="false" color="#000000" opacity="0"/>
                  <v:fill on="true" color="#000000"/>
                </v:shape>
              </v:group>
            </w:pict>
          </mc:Fallback>
        </mc:AlternateContent>
      </w:r>
      <w:r>
        <w:rPr>
          <w:rFonts w:ascii="Calibri" w:eastAsia="Calibri" w:hAnsi="Calibri" w:cs="Calibri"/>
        </w:rPr>
        <w:tab/>
      </w:r>
      <w:r>
        <w:t xml:space="preserve">once production begins)  </w:t>
      </w:r>
      <w:r>
        <w:tab/>
        <w:t xml:space="preserve"> </w:t>
      </w:r>
      <w:r>
        <w:tab/>
        <w:t xml:space="preserve"> </w:t>
      </w:r>
      <w:r>
        <w:tab/>
        <w:t xml:space="preserve"> </w:t>
      </w:r>
      <w:r>
        <w:tab/>
        <w:t xml:space="preserve"> </w:t>
      </w:r>
      <w:r>
        <w:tab/>
        <w:t xml:space="preserve"> </w:t>
      </w:r>
      <w:r>
        <w:tab/>
        <w:t xml:space="preserve"> </w:t>
      </w:r>
      <w:r>
        <w:tab/>
        <w:t xml:space="preserve"> </w:t>
      </w:r>
    </w:p>
    <w:p w:rsidR="00C25E94" w:rsidRDefault="00AA21AD">
      <w:pPr>
        <w:tabs>
          <w:tab w:val="center" w:pos="1080"/>
          <w:tab w:val="center" w:pos="2130"/>
          <w:tab w:val="center" w:pos="3804"/>
        </w:tabs>
        <w:spacing w:after="201"/>
        <w:ind w:left="-15" w:right="0" w:firstLine="0"/>
        <w:jc w:val="left"/>
      </w:pPr>
      <w:r>
        <w:rPr>
          <w:rFonts w:ascii="Calibri" w:eastAsia="Calibri" w:hAnsi="Calibri" w:cs="Calibri"/>
        </w:rPr>
        <w:tab/>
      </w:r>
      <w:r>
        <w:t xml:space="preserve"> </w:t>
      </w:r>
      <w:r>
        <w:tab/>
        <w:t xml:space="preserve">Equals:  </w:t>
      </w:r>
      <w:r>
        <w:tab/>
      </w:r>
      <w:r>
        <w:rPr>
          <w:u w:val="double" w:color="000000"/>
        </w:rPr>
        <w:t>Excess IDCs</w:t>
      </w:r>
      <w:r>
        <w:t xml:space="preserve"> </w:t>
      </w:r>
    </w:p>
    <w:p w:rsidR="00C25E94" w:rsidRDefault="00AA21AD">
      <w:pPr>
        <w:tabs>
          <w:tab w:val="center" w:pos="1080"/>
          <w:tab w:val="center" w:pos="1800"/>
          <w:tab w:val="center" w:pos="2520"/>
          <w:tab w:val="center" w:pos="3805"/>
        </w:tabs>
        <w:ind w:left="-15" w:right="0" w:firstLine="0"/>
        <w:jc w:val="left"/>
      </w:pPr>
      <w:r>
        <w:rPr>
          <w:rFonts w:ascii="Calibri" w:eastAsia="Calibri" w:hAnsi="Calibri" w:cs="Calibri"/>
        </w:rPr>
        <w:tab/>
      </w:r>
      <w:r>
        <w:t xml:space="preserve"> </w:t>
      </w:r>
      <w:r>
        <w:tab/>
        <w:t xml:space="preserve"> </w:t>
      </w:r>
      <w:r>
        <w:tab/>
        <w:t xml:space="preserve"> </w:t>
      </w:r>
      <w:r>
        <w:tab/>
        <w:t xml:space="preserve">Excess IDCs </w:t>
      </w:r>
    </w:p>
    <w:p w:rsidR="00C25E94" w:rsidRDefault="00AA21AD">
      <w:pPr>
        <w:tabs>
          <w:tab w:val="center" w:pos="2112"/>
          <w:tab w:val="center" w:pos="6794"/>
        </w:tabs>
        <w:ind w:left="0" w:right="0" w:firstLine="0"/>
        <w:jc w:val="left"/>
      </w:pPr>
      <w:r>
        <w:rPr>
          <w:rFonts w:ascii="Calibri" w:eastAsia="Calibri" w:hAnsi="Calibri" w:cs="Calibri"/>
        </w:rPr>
        <w:tab/>
      </w:r>
      <w:r>
        <w:t xml:space="preserve">Minus: </w:t>
      </w:r>
      <w:r>
        <w:tab/>
        <w:t xml:space="preserve">65% of net oil and gas or geothermal income (computed using AMT income and </w:t>
      </w:r>
    </w:p>
    <w:p w:rsidR="00C25E94" w:rsidRDefault="00AA21AD">
      <w:pPr>
        <w:tabs>
          <w:tab w:val="center" w:pos="4757"/>
          <w:tab w:val="center" w:pos="6842"/>
          <w:tab w:val="center" w:pos="7562"/>
          <w:tab w:val="center" w:pos="8282"/>
          <w:tab w:val="center" w:pos="9002"/>
          <w:tab w:val="center" w:pos="9722"/>
          <w:tab w:val="center" w:pos="10442"/>
        </w:tabs>
        <w:spacing w:after="3"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column">
                  <wp:posOffset>1371602</wp:posOffset>
                </wp:positionH>
                <wp:positionV relativeFrom="paragraph">
                  <wp:posOffset>111929</wp:posOffset>
                </wp:positionV>
                <wp:extent cx="4572000" cy="6858"/>
                <wp:effectExtent l="0" t="0" r="0" b="0"/>
                <wp:wrapNone/>
                <wp:docPr id="43604" name="Group 43604"/>
                <wp:cNvGraphicFramePr/>
                <a:graphic xmlns:a="http://schemas.openxmlformats.org/drawingml/2006/main">
                  <a:graphicData uri="http://schemas.microsoft.com/office/word/2010/wordprocessingGroup">
                    <wpg:wgp>
                      <wpg:cNvGrpSpPr/>
                      <wpg:grpSpPr>
                        <a:xfrm>
                          <a:off x="0" y="0"/>
                          <a:ext cx="4572000" cy="6858"/>
                          <a:chOff x="0" y="0"/>
                          <a:chExt cx="4572000" cy="6858"/>
                        </a:xfrm>
                      </wpg:grpSpPr>
                      <wps:wsp>
                        <wps:cNvPr id="63024" name="Shape 63024"/>
                        <wps:cNvSpPr/>
                        <wps:spPr>
                          <a:xfrm>
                            <a:off x="0" y="0"/>
                            <a:ext cx="4572000" cy="9144"/>
                          </a:xfrm>
                          <a:custGeom>
                            <a:avLst/>
                            <a:gdLst/>
                            <a:ahLst/>
                            <a:cxnLst/>
                            <a:rect l="0" t="0" r="0" b="0"/>
                            <a:pathLst>
                              <a:path w="4572000" h="9144">
                                <a:moveTo>
                                  <a:pt x="0" y="0"/>
                                </a:moveTo>
                                <a:lnTo>
                                  <a:pt x="4572000" y="0"/>
                                </a:lnTo>
                                <a:lnTo>
                                  <a:pt x="4572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3604" style="width:360pt;height:0.539993pt;position:absolute;z-index:17;mso-position-horizontal-relative:text;mso-position-horizontal:absolute;margin-left:108pt;mso-position-vertical-relative:text;margin-top:8.81331pt;" coordsize="45720,68">
                <v:shape id="Shape 63025" style="position:absolute;width:45720;height:91;left:0;top:0;" coordsize="4572000,9144" path="m0,0l4572000,0l4572000,9144l0,9144l0,0">
                  <v:stroke weight="0pt" endcap="flat" joinstyle="miter" miterlimit="10" on="false" color="#000000" opacity="0"/>
                  <v:fill on="true" color="#000000"/>
                </v:shape>
              </v:group>
            </w:pict>
          </mc:Fallback>
        </mc:AlternateContent>
      </w:r>
      <w:r>
        <w:rPr>
          <w:rFonts w:ascii="Calibri" w:eastAsia="Calibri" w:hAnsi="Calibri" w:cs="Calibri"/>
        </w:rPr>
        <w:tab/>
      </w:r>
      <w:r>
        <w:t xml:space="preserve">deductions, including AMT IDCs) </w:t>
      </w:r>
      <w:r>
        <w:tab/>
        <w:t xml:space="preserve"> </w:t>
      </w:r>
      <w:r>
        <w:tab/>
        <w:t xml:space="preserve"> </w:t>
      </w:r>
      <w:r>
        <w:tab/>
        <w:t xml:space="preserve"> </w:t>
      </w:r>
      <w:r>
        <w:tab/>
        <w:t xml:space="preserve"> </w:t>
      </w:r>
      <w:r>
        <w:tab/>
        <w:t xml:space="preserve"> </w:t>
      </w:r>
      <w:r>
        <w:tab/>
        <w:t xml:space="preserve"> </w:t>
      </w:r>
    </w:p>
    <w:p w:rsidR="00C25E94" w:rsidRDefault="00AA21AD">
      <w:pPr>
        <w:tabs>
          <w:tab w:val="center" w:pos="2130"/>
          <w:tab w:val="center" w:pos="3981"/>
        </w:tabs>
        <w:ind w:left="0" w:right="0" w:firstLine="0"/>
        <w:jc w:val="left"/>
      </w:pPr>
      <w:r>
        <w:rPr>
          <w:rFonts w:ascii="Calibri" w:eastAsia="Calibri" w:hAnsi="Calibri" w:cs="Calibri"/>
        </w:rPr>
        <w:tab/>
      </w:r>
      <w:r>
        <w:t xml:space="preserve">Equals:  </w:t>
      </w:r>
      <w:r>
        <w:tab/>
      </w:r>
      <w:r>
        <w:rPr>
          <w:u w:val="double" w:color="000000"/>
        </w:rPr>
        <w:t>AMT Preference</w:t>
      </w:r>
      <w:r>
        <w:t xml:space="preserve"> </w:t>
      </w:r>
    </w:p>
    <w:p w:rsidR="00C25E94" w:rsidRDefault="00AA21AD">
      <w:pPr>
        <w:spacing w:after="0" w:line="259" w:lineRule="auto"/>
        <w:ind w:left="0" w:right="0" w:firstLine="0"/>
        <w:jc w:val="left"/>
      </w:pPr>
      <w:r>
        <w:t xml:space="preserve"> </w:t>
      </w:r>
    </w:p>
    <w:p w:rsidR="00C25E94" w:rsidRDefault="00AA21AD">
      <w:pPr>
        <w:numPr>
          <w:ilvl w:val="0"/>
          <w:numId w:val="1"/>
        </w:numPr>
        <w:ind w:right="43" w:hanging="720"/>
      </w:pPr>
      <w:r>
        <w:t>(LO 7) Interest received from a state or local bond that is a qualified private activity bond is excluded from corporate taxable income. Examples of these bonds include those issued by a municipality to fund construction costs of a manufacturing facility (</w:t>
      </w:r>
      <w:r>
        <w:t xml:space="preserve">to encourage a business to locate in the municipality) or bonds issued by a city to provide construction financing for a professional sports facility. In both of these cases, a government entity is raising funds to support a </w:t>
      </w:r>
      <w:r>
        <w:rPr>
          <w:i/>
        </w:rPr>
        <w:t>private activity</w:t>
      </w:r>
      <w:r>
        <w:t xml:space="preserve">. Any interest on such a bond is treated as a preference item and added back to the corporate taxable income to arrive at AMTI. Any disallowed related expenses may be deductible from AMTI. </w:t>
      </w:r>
    </w:p>
    <w:p w:rsidR="00C25E94" w:rsidRDefault="00AA21AD">
      <w:pPr>
        <w:spacing w:after="0" w:line="259" w:lineRule="auto"/>
        <w:ind w:left="0" w:right="0" w:firstLine="0"/>
        <w:jc w:val="left"/>
      </w:pPr>
      <w:r>
        <w:t xml:space="preserve"> </w:t>
      </w:r>
    </w:p>
    <w:p w:rsidR="00C25E94" w:rsidRDefault="00AA21AD">
      <w:pPr>
        <w:numPr>
          <w:ilvl w:val="0"/>
          <w:numId w:val="1"/>
        </w:numPr>
        <w:ind w:right="43" w:hanging="720"/>
      </w:pPr>
      <w:r>
        <w:t>(LO 7) Depreciation differences for AMT purposes and regular cor</w:t>
      </w:r>
      <w:r>
        <w:t>porate tax purposes may cause differences in the adjusted basis of assets for AMT and regular tax purposes. The adjusted basis of assets is determined by the amount of deductions allowed for regular tax and AMT purposes. Thus, if a company sells an asset b</w:t>
      </w:r>
      <w:r>
        <w:t xml:space="preserve">efore it is completely depreciated, a different gain or loss may be generated for regular tax than for AMT. The adjustment can be positive or negative. </w:t>
      </w:r>
    </w:p>
    <w:p w:rsidR="00C25E94" w:rsidRDefault="00AA21AD">
      <w:pPr>
        <w:spacing w:after="0" w:line="259" w:lineRule="auto"/>
        <w:ind w:left="0" w:right="0" w:firstLine="0"/>
        <w:jc w:val="left"/>
      </w:pPr>
      <w:r>
        <w:t xml:space="preserve"> </w:t>
      </w:r>
    </w:p>
    <w:p w:rsidR="00C25E94" w:rsidRDefault="00AA21AD">
      <w:pPr>
        <w:numPr>
          <w:ilvl w:val="0"/>
          <w:numId w:val="1"/>
        </w:numPr>
        <w:ind w:right="43" w:hanging="720"/>
      </w:pPr>
      <w:r>
        <w:t xml:space="preserve">(LO 7, 8) </w:t>
      </w:r>
    </w:p>
    <w:p w:rsidR="00C25E94" w:rsidRDefault="00AA21AD">
      <w:pPr>
        <w:numPr>
          <w:ilvl w:val="1"/>
          <w:numId w:val="1"/>
        </w:numPr>
        <w:spacing w:after="207"/>
        <w:ind w:left="1074" w:right="43" w:hanging="721"/>
      </w:pPr>
      <w:r>
        <w:t xml:space="preserve">I. (Add)   </w:t>
      </w:r>
    </w:p>
    <w:p w:rsidR="00C25E94" w:rsidRDefault="00AA21AD">
      <w:pPr>
        <w:numPr>
          <w:ilvl w:val="1"/>
          <w:numId w:val="1"/>
        </w:numPr>
        <w:spacing w:after="208"/>
        <w:ind w:left="1074" w:right="43" w:hanging="721"/>
      </w:pPr>
      <w:r>
        <w:t xml:space="preserve">N. (No impact) </w:t>
      </w:r>
    </w:p>
    <w:p w:rsidR="00C25E94" w:rsidRDefault="00AA21AD">
      <w:pPr>
        <w:numPr>
          <w:ilvl w:val="1"/>
          <w:numId w:val="1"/>
        </w:numPr>
        <w:spacing w:after="208"/>
        <w:ind w:left="1074" w:right="43" w:hanging="721"/>
      </w:pPr>
      <w:r>
        <w:t xml:space="preserve">N. (No impact) </w:t>
      </w:r>
    </w:p>
    <w:p w:rsidR="00C25E94" w:rsidRDefault="00AA21AD">
      <w:pPr>
        <w:numPr>
          <w:ilvl w:val="1"/>
          <w:numId w:val="1"/>
        </w:numPr>
        <w:spacing w:after="207"/>
        <w:ind w:left="1074" w:right="43" w:hanging="721"/>
      </w:pPr>
      <w:r>
        <w:t xml:space="preserve">N. (No impact) </w:t>
      </w:r>
    </w:p>
    <w:p w:rsidR="00C25E94" w:rsidRDefault="00AA21AD">
      <w:pPr>
        <w:numPr>
          <w:ilvl w:val="1"/>
          <w:numId w:val="1"/>
        </w:numPr>
        <w:spacing w:after="208"/>
        <w:ind w:left="1074" w:right="43" w:hanging="721"/>
      </w:pPr>
      <w:r>
        <w:t xml:space="preserve">I. (Add)   </w:t>
      </w:r>
    </w:p>
    <w:p w:rsidR="00C25E94" w:rsidRDefault="00AA21AD">
      <w:pPr>
        <w:numPr>
          <w:ilvl w:val="1"/>
          <w:numId w:val="1"/>
        </w:numPr>
        <w:spacing w:after="209"/>
        <w:ind w:left="1074" w:right="43" w:hanging="721"/>
      </w:pPr>
      <w:r>
        <w:t>I. [Add (net of ca</w:t>
      </w:r>
      <w:r>
        <w:t xml:space="preserve">sh surrender value previously accounted for)] </w:t>
      </w:r>
    </w:p>
    <w:p w:rsidR="00C25E94" w:rsidRDefault="00AA21AD">
      <w:pPr>
        <w:numPr>
          <w:ilvl w:val="1"/>
          <w:numId w:val="1"/>
        </w:numPr>
        <w:spacing w:after="248"/>
        <w:ind w:left="1074" w:right="43" w:hanging="721"/>
      </w:pPr>
      <w:r>
        <w:t xml:space="preserve">I. (Add) </w:t>
      </w:r>
    </w:p>
    <w:p w:rsidR="00C25E94" w:rsidRDefault="00AA21AD">
      <w:pPr>
        <w:numPr>
          <w:ilvl w:val="0"/>
          <w:numId w:val="1"/>
        </w:numPr>
        <w:ind w:right="43" w:hanging="720"/>
      </w:pPr>
      <w:r>
        <w:t xml:space="preserve">(LO 6, 7, 8) </w:t>
      </w:r>
    </w:p>
    <w:p w:rsidR="00C25E94" w:rsidRDefault="00AA21AD">
      <w:pPr>
        <w:numPr>
          <w:ilvl w:val="1"/>
          <w:numId w:val="1"/>
        </w:numPr>
        <w:spacing w:after="207"/>
        <w:ind w:left="1074" w:right="43" w:hanging="721"/>
      </w:pPr>
      <w:r>
        <w:t xml:space="preserve">E. Both positive and negative.  </w:t>
      </w:r>
    </w:p>
    <w:p w:rsidR="00C25E94" w:rsidRDefault="00AA21AD">
      <w:pPr>
        <w:numPr>
          <w:ilvl w:val="1"/>
          <w:numId w:val="1"/>
        </w:numPr>
        <w:spacing w:after="208"/>
        <w:ind w:left="1074" w:right="43" w:hanging="721"/>
      </w:pPr>
      <w:r>
        <w:t xml:space="preserve">E. Both positive and negative.  </w:t>
      </w:r>
    </w:p>
    <w:p w:rsidR="00C25E94" w:rsidRDefault="00AA21AD">
      <w:pPr>
        <w:numPr>
          <w:ilvl w:val="1"/>
          <w:numId w:val="1"/>
        </w:numPr>
        <w:spacing w:after="208"/>
        <w:ind w:left="1074" w:right="43" w:hanging="721"/>
      </w:pPr>
      <w:r>
        <w:lastRenderedPageBreak/>
        <w:t xml:space="preserve">D.  </w:t>
      </w:r>
    </w:p>
    <w:p w:rsidR="00C25E94" w:rsidRDefault="00AA21AD">
      <w:pPr>
        <w:numPr>
          <w:ilvl w:val="1"/>
          <w:numId w:val="1"/>
        </w:numPr>
        <w:spacing w:after="207"/>
        <w:ind w:left="1074" w:right="43" w:hanging="721"/>
      </w:pPr>
      <w:r>
        <w:t xml:space="preserve">E. Plus or minus adjustment.  </w:t>
      </w:r>
    </w:p>
    <w:p w:rsidR="00C25E94" w:rsidRDefault="00AA21AD">
      <w:pPr>
        <w:numPr>
          <w:ilvl w:val="1"/>
          <w:numId w:val="1"/>
        </w:numPr>
        <w:spacing w:after="208"/>
        <w:ind w:left="1074" w:right="43" w:hanging="721"/>
      </w:pPr>
      <w:r>
        <w:t xml:space="preserve">D.  </w:t>
      </w:r>
    </w:p>
    <w:p w:rsidR="00C25E94" w:rsidRDefault="00AA21AD">
      <w:pPr>
        <w:numPr>
          <w:ilvl w:val="1"/>
          <w:numId w:val="1"/>
        </w:numPr>
        <w:spacing w:after="208"/>
        <w:ind w:left="1074" w:right="43" w:hanging="721"/>
      </w:pPr>
      <w:r>
        <w:t xml:space="preserve">E. Plus or minus adjustment.  </w:t>
      </w:r>
    </w:p>
    <w:p w:rsidR="00C25E94" w:rsidRDefault="00AA21AD">
      <w:pPr>
        <w:numPr>
          <w:ilvl w:val="1"/>
          <w:numId w:val="1"/>
        </w:numPr>
        <w:ind w:left="1074" w:right="43" w:hanging="721"/>
      </w:pPr>
      <w:r>
        <w:t xml:space="preserve">I. A tax preference item. </w:t>
      </w:r>
    </w:p>
    <w:p w:rsidR="00C25E94" w:rsidRDefault="00AA21AD">
      <w:pPr>
        <w:numPr>
          <w:ilvl w:val="1"/>
          <w:numId w:val="1"/>
        </w:numPr>
        <w:spacing w:after="209"/>
        <w:ind w:left="1074" w:right="43" w:hanging="721"/>
      </w:pPr>
      <w:r>
        <w:t xml:space="preserve">N. </w:t>
      </w:r>
    </w:p>
    <w:p w:rsidR="00C25E94" w:rsidRDefault="00AA21AD">
      <w:pPr>
        <w:numPr>
          <w:ilvl w:val="1"/>
          <w:numId w:val="1"/>
        </w:numPr>
        <w:spacing w:after="248"/>
        <w:ind w:left="1074" w:right="43" w:hanging="721"/>
      </w:pPr>
      <w:r>
        <w:t xml:space="preserve">I. A tax preference item.  </w:t>
      </w:r>
    </w:p>
    <w:p w:rsidR="00C25E94" w:rsidRDefault="00AA21AD">
      <w:pPr>
        <w:numPr>
          <w:ilvl w:val="0"/>
          <w:numId w:val="1"/>
        </w:numPr>
        <w:ind w:right="43" w:hanging="720"/>
      </w:pPr>
      <w:r>
        <w:t xml:space="preserve">(LO 8)  </w:t>
      </w:r>
    </w:p>
    <w:p w:rsidR="00C25E94" w:rsidRDefault="00AA21AD">
      <w:pPr>
        <w:tabs>
          <w:tab w:val="center" w:pos="2064"/>
        </w:tabs>
        <w:spacing w:after="227"/>
        <w:ind w:left="-15" w:right="0" w:firstLine="0"/>
        <w:jc w:val="left"/>
      </w:pPr>
      <w:r>
        <w:t xml:space="preserve"> </w:t>
      </w:r>
      <w:r>
        <w:tab/>
        <w:t xml:space="preserve">TAX FILE MEMORANDUM </w:t>
      </w:r>
    </w:p>
    <w:p w:rsidR="00C25E94" w:rsidRDefault="00AA21AD">
      <w:pPr>
        <w:tabs>
          <w:tab w:val="center" w:pos="1475"/>
        </w:tabs>
        <w:spacing w:after="227"/>
        <w:ind w:left="-15" w:right="0" w:firstLine="0"/>
        <w:jc w:val="left"/>
      </w:pPr>
      <w:r>
        <w:t xml:space="preserve"> </w:t>
      </w:r>
      <w:r>
        <w:tab/>
        <w:t xml:space="preserve">February 9, 2018 </w:t>
      </w:r>
    </w:p>
    <w:p w:rsidR="00C25E94" w:rsidRDefault="00AA21AD">
      <w:pPr>
        <w:tabs>
          <w:tab w:val="center" w:pos="1814"/>
        </w:tabs>
        <w:spacing w:after="229"/>
        <w:ind w:left="-15" w:right="0" w:firstLine="0"/>
        <w:jc w:val="left"/>
      </w:pPr>
      <w:r>
        <w:t xml:space="preserve"> </w:t>
      </w:r>
      <w:r>
        <w:tab/>
        <w:t xml:space="preserve">SUBJECT: Janice Boyer </w:t>
      </w:r>
    </w:p>
    <w:p w:rsidR="00C25E94" w:rsidRDefault="00AA21AD">
      <w:pPr>
        <w:tabs>
          <w:tab w:val="center" w:pos="2410"/>
        </w:tabs>
        <w:ind w:left="-15" w:right="0" w:firstLine="0"/>
        <w:jc w:val="left"/>
      </w:pPr>
      <w:r>
        <w:t xml:space="preserve"> </w:t>
      </w:r>
      <w:r>
        <w:tab/>
        <w:t xml:space="preserve">RE:            ACE versus Current E &amp; P </w:t>
      </w:r>
    </w:p>
    <w:p w:rsidR="00C25E94" w:rsidRDefault="00AA21AD">
      <w:pPr>
        <w:spacing w:after="0" w:line="259" w:lineRule="auto"/>
        <w:ind w:left="0" w:right="0" w:firstLine="0"/>
        <w:jc w:val="left"/>
      </w:pPr>
      <w:r>
        <w:t xml:space="preserve"> </w:t>
      </w:r>
    </w:p>
    <w:p w:rsidR="00C25E94" w:rsidRDefault="00AA21AD">
      <w:pPr>
        <w:spacing w:after="181"/>
        <w:ind w:left="722" w:right="43"/>
      </w:pPr>
      <w:r>
        <w:t xml:space="preserve">I told Ms. Boyer that ACE should not be confused with current E &amp; P. Many items are treated in the same manner, but certain items that are deductible in computing E &amp; P (but are not deductible in calculating taxable income) generally are not deductible in </w:t>
      </w:r>
      <w:r>
        <w:t xml:space="preserve">computing ACE (e.g., Federal income taxes). The impact of various transactions on ACE and E &amp; P vary. </w:t>
      </w:r>
    </w:p>
    <w:p w:rsidR="00C25E94" w:rsidRDefault="00AA21AD">
      <w:pPr>
        <w:spacing w:after="208"/>
        <w:ind w:left="705" w:right="43" w:hanging="720"/>
      </w:pPr>
      <w:r>
        <w:t xml:space="preserve"> The starting point for computing ACE is AMTI, which is defined as regular taxable income after AMT adjustments (other than the NOL and ACE adjustments) </w:t>
      </w:r>
      <w:r>
        <w:t xml:space="preserve">and after tax preferences. See § 56(g). The resulting figure is adjusted for a number of items in order to determine ACE (e.g., life insurance proceeds).   </w:t>
      </w:r>
    </w:p>
    <w:p w:rsidR="00C25E94" w:rsidRDefault="00AA21AD">
      <w:pPr>
        <w:numPr>
          <w:ilvl w:val="0"/>
          <w:numId w:val="1"/>
        </w:numPr>
        <w:ind w:right="43" w:hanging="720"/>
      </w:pPr>
      <w:r>
        <w:t xml:space="preserve">(LO 8) </w:t>
      </w:r>
    </w:p>
    <w:p w:rsidR="00C25E94" w:rsidRDefault="00AA21AD">
      <w:pPr>
        <w:numPr>
          <w:ilvl w:val="1"/>
          <w:numId w:val="1"/>
        </w:numPr>
        <w:spacing w:after="167"/>
        <w:ind w:left="1074" w:right="43" w:hanging="721"/>
      </w:pPr>
      <w:r>
        <w:t xml:space="preserve">Add. </w:t>
      </w:r>
    </w:p>
    <w:p w:rsidR="00C25E94" w:rsidRDefault="00AA21AD">
      <w:pPr>
        <w:numPr>
          <w:ilvl w:val="1"/>
          <w:numId w:val="1"/>
        </w:numPr>
        <w:spacing w:after="167"/>
        <w:ind w:left="1074" w:right="43" w:hanging="721"/>
      </w:pPr>
      <w:r>
        <w:t xml:space="preserve">Add. </w:t>
      </w:r>
    </w:p>
    <w:p w:rsidR="00C25E94" w:rsidRDefault="00AA21AD">
      <w:pPr>
        <w:numPr>
          <w:ilvl w:val="1"/>
          <w:numId w:val="1"/>
        </w:numPr>
        <w:spacing w:after="168"/>
        <w:ind w:left="1074" w:right="43" w:hanging="721"/>
      </w:pPr>
      <w:r>
        <w:t xml:space="preserve">No effect. </w:t>
      </w:r>
    </w:p>
    <w:p w:rsidR="00C25E94" w:rsidRDefault="00AA21AD">
      <w:pPr>
        <w:numPr>
          <w:ilvl w:val="1"/>
          <w:numId w:val="1"/>
        </w:numPr>
        <w:spacing w:after="167"/>
        <w:ind w:left="1074" w:right="43" w:hanging="721"/>
      </w:pPr>
      <w:r>
        <w:t xml:space="preserve">Add. </w:t>
      </w:r>
    </w:p>
    <w:p w:rsidR="00C25E94" w:rsidRDefault="00AA21AD">
      <w:pPr>
        <w:numPr>
          <w:ilvl w:val="1"/>
          <w:numId w:val="1"/>
        </w:numPr>
        <w:spacing w:after="167"/>
        <w:ind w:left="1074" w:right="43" w:hanging="721"/>
      </w:pPr>
      <w:r>
        <w:t xml:space="preserve">No effect. </w:t>
      </w:r>
    </w:p>
    <w:p w:rsidR="00C25E94" w:rsidRDefault="00AA21AD">
      <w:pPr>
        <w:numPr>
          <w:ilvl w:val="1"/>
          <w:numId w:val="1"/>
        </w:numPr>
        <w:spacing w:after="168"/>
        <w:ind w:left="1074" w:right="43" w:hanging="721"/>
      </w:pPr>
      <w:r>
        <w:t xml:space="preserve">Add. </w:t>
      </w:r>
    </w:p>
    <w:p w:rsidR="00C25E94" w:rsidRDefault="00AA21AD">
      <w:pPr>
        <w:numPr>
          <w:ilvl w:val="1"/>
          <w:numId w:val="1"/>
        </w:numPr>
        <w:spacing w:after="167"/>
        <w:ind w:left="1074" w:right="43" w:hanging="721"/>
      </w:pPr>
      <w:r>
        <w:t xml:space="preserve">No effect. </w:t>
      </w:r>
    </w:p>
    <w:p w:rsidR="00C25E94" w:rsidRDefault="00AA21AD">
      <w:pPr>
        <w:numPr>
          <w:ilvl w:val="1"/>
          <w:numId w:val="1"/>
        </w:numPr>
        <w:spacing w:after="141"/>
        <w:ind w:left="1074" w:right="43" w:hanging="721"/>
      </w:pPr>
      <w:r>
        <w:t xml:space="preserve">Subtract. </w:t>
      </w:r>
    </w:p>
    <w:p w:rsidR="00C25E94" w:rsidRDefault="00AA21AD">
      <w:pPr>
        <w:numPr>
          <w:ilvl w:val="0"/>
          <w:numId w:val="1"/>
        </w:numPr>
        <w:ind w:right="43" w:hanging="720"/>
      </w:pPr>
      <w:r>
        <w:t>(LO 9) Corporate earnings are subject to double taxation—once at the corporate level and then at the shareholder level (when earnings are distributed as a dividend). When dividends were taxed as ordinary income, avoiding corporate distributions often was d</w:t>
      </w:r>
      <w:r>
        <w:t xml:space="preserve">esirable. In closely held settings where a few high-bracket shareholders control corporate policy, the following approach would be taken. </w:t>
      </w:r>
    </w:p>
    <w:p w:rsidR="00C25E94" w:rsidRDefault="00AA21AD">
      <w:pPr>
        <w:spacing w:after="0" w:line="259" w:lineRule="auto"/>
        <w:ind w:left="0" w:right="0" w:firstLine="0"/>
        <w:jc w:val="left"/>
      </w:pPr>
      <w:r>
        <w:t xml:space="preserve"> </w:t>
      </w:r>
    </w:p>
    <w:p w:rsidR="00C25E94" w:rsidRDefault="00AA21AD">
      <w:pPr>
        <w:numPr>
          <w:ilvl w:val="1"/>
          <w:numId w:val="1"/>
        </w:numPr>
        <w:ind w:left="1074" w:right="43" w:hanging="721"/>
      </w:pPr>
      <w:r>
        <w:lastRenderedPageBreak/>
        <w:t>Accumulate earnings within the corporation. Distribute dividends, if at all, only when the shareholders are in a fa</w:t>
      </w:r>
      <w:r>
        <w:t xml:space="preserve">vorable tax position (e.g., are in low brackets or have offsetting losses). </w:t>
      </w:r>
    </w:p>
    <w:p w:rsidR="00C25E94" w:rsidRDefault="00AA21AD">
      <w:pPr>
        <w:spacing w:after="0" w:line="259" w:lineRule="auto"/>
        <w:ind w:left="0" w:right="0" w:firstLine="0"/>
        <w:jc w:val="left"/>
      </w:pPr>
      <w:r>
        <w:t xml:space="preserve"> </w:t>
      </w:r>
    </w:p>
    <w:p w:rsidR="00C25E94" w:rsidRDefault="00AA21AD">
      <w:pPr>
        <w:numPr>
          <w:ilvl w:val="1"/>
          <w:numId w:val="1"/>
        </w:numPr>
        <w:ind w:left="1074" w:right="43" w:hanging="721"/>
      </w:pPr>
      <w:r>
        <w:t xml:space="preserve">The accumulations will cause the stock to appreciate in value. </w:t>
      </w:r>
    </w:p>
    <w:p w:rsidR="00C25E94" w:rsidRDefault="00AA21AD">
      <w:pPr>
        <w:spacing w:after="0" w:line="259" w:lineRule="auto"/>
        <w:ind w:left="0" w:right="0" w:firstLine="0"/>
        <w:jc w:val="left"/>
      </w:pPr>
      <w:r>
        <w:t xml:space="preserve"> </w:t>
      </w:r>
    </w:p>
    <w:p w:rsidR="00C25E94" w:rsidRDefault="00AA21AD">
      <w:pPr>
        <w:numPr>
          <w:ilvl w:val="1"/>
          <w:numId w:val="1"/>
        </w:numPr>
        <w:spacing w:after="258"/>
        <w:ind w:left="1074" w:right="43" w:hanging="721"/>
      </w:pPr>
      <w:r>
        <w:t>The shareholders ultimately can recognize this appreciation in value at preferential capital gain rates by sell</w:t>
      </w:r>
      <w:r>
        <w:t xml:space="preserve">ing the stock. Or, if the stock is transferred by death, no gain is ever recognized due to the step-up in basis under § 1014 (see Chapter 19). </w:t>
      </w:r>
    </w:p>
    <w:p w:rsidR="00C25E94" w:rsidRDefault="00AA21AD">
      <w:pPr>
        <w:numPr>
          <w:ilvl w:val="0"/>
          <w:numId w:val="1"/>
        </w:numPr>
        <w:ind w:right="43" w:hanging="720"/>
      </w:pPr>
      <w:r>
        <w:t xml:space="preserve">(LO 10) </w:t>
      </w:r>
    </w:p>
    <w:p w:rsidR="00C25E94" w:rsidRDefault="00AA21AD">
      <w:pPr>
        <w:numPr>
          <w:ilvl w:val="1"/>
          <w:numId w:val="1"/>
        </w:numPr>
        <w:ind w:left="1074" w:right="43" w:hanging="721"/>
      </w:pPr>
      <w:r>
        <w:t xml:space="preserve">–.  A decrease in taxable income.    </w:t>
      </w:r>
    </w:p>
    <w:p w:rsidR="00C25E94" w:rsidRDefault="00AA21AD">
      <w:pPr>
        <w:numPr>
          <w:ilvl w:val="1"/>
          <w:numId w:val="1"/>
        </w:numPr>
        <w:spacing w:after="274"/>
        <w:ind w:left="1074" w:right="43" w:hanging="721"/>
      </w:pPr>
      <w:r>
        <w:t xml:space="preserve">NE.  Only a taxable stock dividend would result in a reduction in ATI. </w:t>
      </w:r>
    </w:p>
    <w:p w:rsidR="00C25E94" w:rsidRDefault="00AA21AD">
      <w:pPr>
        <w:numPr>
          <w:ilvl w:val="1"/>
          <w:numId w:val="1"/>
        </w:numPr>
        <w:spacing w:after="273"/>
        <w:ind w:left="1074" w:right="43" w:hanging="721"/>
      </w:pPr>
      <w:r>
        <w:t xml:space="preserve">NE.  Only excess charitable contributions are subtracted. </w:t>
      </w:r>
    </w:p>
    <w:p w:rsidR="00C25E94" w:rsidRDefault="00AA21AD">
      <w:pPr>
        <w:numPr>
          <w:ilvl w:val="1"/>
          <w:numId w:val="1"/>
        </w:numPr>
        <w:spacing w:after="274"/>
        <w:ind w:left="1074" w:right="43" w:hanging="721"/>
      </w:pPr>
      <w:r>
        <w:t xml:space="preserve">+. </w:t>
      </w:r>
    </w:p>
    <w:p w:rsidR="00C25E94" w:rsidRDefault="00AA21AD">
      <w:pPr>
        <w:numPr>
          <w:ilvl w:val="1"/>
          <w:numId w:val="1"/>
        </w:numPr>
        <w:spacing w:after="237"/>
        <w:ind w:left="1074" w:right="43" w:hanging="721"/>
      </w:pPr>
      <w:r>
        <w:t xml:space="preserve">+. </w:t>
      </w:r>
    </w:p>
    <w:p w:rsidR="00C25E94" w:rsidRDefault="00AA21AD">
      <w:pPr>
        <w:numPr>
          <w:ilvl w:val="0"/>
          <w:numId w:val="1"/>
        </w:numPr>
        <w:spacing w:after="220"/>
        <w:ind w:right="43" w:hanging="720"/>
      </w:pPr>
      <w:r>
        <w:t xml:space="preserve">(LO 11) If the production process includes offshore activities, recall that § 199 requires that a “significant part” be performed in the United States. According to the IRS, </w:t>
      </w:r>
      <w:r>
        <w:rPr>
          <w:i/>
        </w:rPr>
        <w:t xml:space="preserve">significant </w:t>
      </w:r>
      <w:r>
        <w:t xml:space="preserve">means “substantial,” and this condition can be satisfied by meeting a </w:t>
      </w:r>
      <w:r>
        <w:t xml:space="preserve">20% safe-harbor rule (see Examples 9 and 10 in this chapter). In cases where compliance with this safe-harbor rule is questionable, a ready solution would shift some of the offshore production to the United States.  </w:t>
      </w:r>
    </w:p>
    <w:p w:rsidR="00C25E94" w:rsidRDefault="00AA21AD">
      <w:pPr>
        <w:numPr>
          <w:ilvl w:val="0"/>
          <w:numId w:val="1"/>
        </w:numPr>
        <w:spacing w:after="139"/>
        <w:ind w:right="43" w:hanging="720"/>
      </w:pPr>
      <w:r>
        <w:t>(LO 11) To avoid the W–2 wage limitatio</w:t>
      </w:r>
      <w:r>
        <w:t xml:space="preserve">n imposed on the DPAD, the following observations could be placed on PowerPoint slides. </w:t>
      </w:r>
    </w:p>
    <w:p w:rsidR="00C25E94" w:rsidRDefault="00AA21AD">
      <w:pPr>
        <w:numPr>
          <w:ilvl w:val="1"/>
          <w:numId w:val="2"/>
        </w:numPr>
        <w:spacing w:after="166"/>
        <w:ind w:right="43" w:hanging="720"/>
      </w:pPr>
      <w:r>
        <w:t xml:space="preserve">For sole proprietors, the self-employment tax does not qualify. In some cases, family members may need to be placed on the payroll to meet the W–2 wage limitation. </w:t>
      </w:r>
    </w:p>
    <w:p w:rsidR="00C25E94" w:rsidRDefault="00AA21AD">
      <w:pPr>
        <w:numPr>
          <w:ilvl w:val="1"/>
          <w:numId w:val="2"/>
        </w:numPr>
        <w:spacing w:after="128"/>
        <w:ind w:right="43" w:hanging="720"/>
      </w:pPr>
      <w:r>
        <w:t>Wa</w:t>
      </w:r>
      <w:r>
        <w:t xml:space="preserve">ges paid and not reported cannot be counted. </w:t>
      </w:r>
    </w:p>
    <w:p w:rsidR="00C25E94" w:rsidRDefault="00AA21AD">
      <w:pPr>
        <w:numPr>
          <w:ilvl w:val="1"/>
          <w:numId w:val="2"/>
        </w:numPr>
        <w:spacing w:after="127"/>
        <w:ind w:right="43" w:hanging="720"/>
      </w:pPr>
      <w:r>
        <w:t xml:space="preserve">Amounts paid to independent contractors do not qualify. </w:t>
      </w:r>
    </w:p>
    <w:p w:rsidR="00C25E94" w:rsidRDefault="00AA21AD">
      <w:pPr>
        <w:numPr>
          <w:ilvl w:val="1"/>
          <w:numId w:val="2"/>
        </w:numPr>
        <w:spacing w:after="100"/>
        <w:ind w:right="43" w:hanging="720"/>
      </w:pPr>
      <w:r>
        <w:t xml:space="preserve">Guaranteed payments made to a partner do not qualify. </w:t>
      </w:r>
    </w:p>
    <w:p w:rsidR="00C25E94" w:rsidRDefault="00AA21AD">
      <w:pPr>
        <w:numPr>
          <w:ilvl w:val="1"/>
          <w:numId w:val="2"/>
        </w:numPr>
        <w:spacing w:after="141"/>
        <w:ind w:right="43" w:hanging="720"/>
      </w:pPr>
      <w:r>
        <w:t xml:space="preserve">Taxpayers that have both qualifying and nonqualifying sales must keep careful records to allocate </w:t>
      </w:r>
      <w:r>
        <w:t xml:space="preserve">their W–2 wages. </w:t>
      </w:r>
    </w:p>
    <w:p w:rsidR="00C25E94" w:rsidRDefault="00AA21AD">
      <w:pPr>
        <w:numPr>
          <w:ilvl w:val="1"/>
          <w:numId w:val="2"/>
        </w:numPr>
        <w:spacing w:after="139"/>
        <w:ind w:right="43" w:hanging="720"/>
      </w:pPr>
      <w:r>
        <w:t xml:space="preserve">A taxpayer’s payments to employees for domestic services in a private home are not included in W–2 wages for purpose of the DPAD. </w:t>
      </w:r>
    </w:p>
    <w:p w:rsidR="00C25E94" w:rsidRDefault="00AA21AD">
      <w:pPr>
        <w:numPr>
          <w:ilvl w:val="1"/>
          <w:numId w:val="2"/>
        </w:numPr>
        <w:spacing w:after="199"/>
        <w:ind w:right="43" w:hanging="720"/>
      </w:pPr>
      <w:r>
        <w:t>An individual filing as part of a joint return may take into account wages paid to employees of his or her spouse, provided the wages are paid in a trade or business (and other requirements are met). This advantage is not true if a taxpayer and spouse file</w:t>
      </w:r>
      <w:r>
        <w:t xml:space="preserve"> separate returns.  </w:t>
      </w:r>
    </w:p>
    <w:p w:rsidR="00C25E94" w:rsidRDefault="00AA21AD">
      <w:pPr>
        <w:pStyle w:val="Heading1"/>
        <w:spacing w:after="197"/>
        <w:ind w:left="-5"/>
      </w:pPr>
      <w:r>
        <w:t xml:space="preserve">COMPUTATIONAL EXERCISES </w:t>
      </w:r>
    </w:p>
    <w:p w:rsidR="00C25E94" w:rsidRDefault="00AA21AD">
      <w:pPr>
        <w:numPr>
          <w:ilvl w:val="0"/>
          <w:numId w:val="4"/>
        </w:numPr>
        <w:spacing w:after="150"/>
        <w:ind w:right="43" w:hanging="720"/>
      </w:pPr>
      <w:r>
        <w:t xml:space="preserve">(LO 2) The DPAD is equal to the lesser of 9% of qualified production activities income or 9% of taxable income or alternative minimum taxable income. The DPAD is further limited by 50% of the W–2 wages paid by </w:t>
      </w:r>
      <w:r>
        <w:t xml:space="preserve">the taxpayer that are allocable to domestic production gross receipts (DPGR), </w:t>
      </w:r>
      <w:r>
        <w:lastRenderedPageBreak/>
        <w:t>including the sum of the aggregate amount of wages and elective deferrals, required to be included on the W–2 wage statement for the employees during the employer’s taxable year.</w:t>
      </w:r>
      <w:r>
        <w:t xml:space="preserve">  </w:t>
      </w:r>
    </w:p>
    <w:p w:rsidR="00C25E94" w:rsidRDefault="00AA21AD">
      <w:pPr>
        <w:spacing w:after="149"/>
        <w:ind w:left="722" w:right="43"/>
      </w:pPr>
      <w:r>
        <w:t xml:space="preserve">Based on this information, Red Oak’s QPAI is $130,000 and its taxable income is $95,000 ($130,000 – $35,000). Red Oak’s DPAD becomes $8,550 [9% of the lesser of $130,000 (QPAI) or $95,000 (TI)]. </w:t>
      </w:r>
    </w:p>
    <w:p w:rsidR="00C25E94" w:rsidRDefault="00AA21AD">
      <w:pPr>
        <w:numPr>
          <w:ilvl w:val="0"/>
          <w:numId w:val="4"/>
        </w:numPr>
        <w:spacing w:after="150"/>
        <w:ind w:right="43" w:hanging="720"/>
      </w:pPr>
      <w:r>
        <w:t>(LO 2) The DPAD is equal to the lesser of 9% of qualified</w:t>
      </w:r>
      <w:r>
        <w:t xml:space="preserve"> production activities income or 9% of taxable income or alternative minimum taxable income. The DPAD is further limited by 50% of the W–2 wages paid by the taxpayer that are allocable to domestic production gross receipts (DPGR), including the sum of the </w:t>
      </w:r>
      <w:r>
        <w:t xml:space="preserve">aggregate amount of wages and elective deferrals, required to be included on the W–2 wage statement for the employees during the employer’s taxable year.  </w:t>
      </w:r>
    </w:p>
    <w:p w:rsidR="00C25E94" w:rsidRDefault="00AA21AD">
      <w:pPr>
        <w:ind w:left="722" w:right="43"/>
      </w:pPr>
      <w:r>
        <w:t>Although Saluda Hills’ DPAD normally would be $84,600 [9% of the lesser of $940,000 (QPAI) or $980,0</w:t>
      </w:r>
      <w:r>
        <w:t xml:space="preserve">00 (taxable income)], it is limited to $82,500 [50% of $165,000 (W–2 wages)]. </w:t>
      </w:r>
    </w:p>
    <w:p w:rsidR="00C25E94" w:rsidRDefault="00AA21AD">
      <w:pPr>
        <w:numPr>
          <w:ilvl w:val="0"/>
          <w:numId w:val="4"/>
        </w:numPr>
        <w:spacing w:after="181"/>
        <w:ind w:right="43" w:hanging="720"/>
      </w:pPr>
      <w:r>
        <w:t>(LO 3) In many cases, a taxpayer must determine the portion of its total gross receipts that is DPGR. To determine DPGR, an apportionment will be necessary. The IRS indicates th</w:t>
      </w:r>
      <w:r>
        <w:t xml:space="preserve">at a taxpayer must use a reasonable method that accurately identifies DPGR and non-DPGR based on all of the information available. If a taxpayer uses a specific identification method (e.g., specifically identifies where the product was MPGE) for any other </w:t>
      </w:r>
      <w:r>
        <w:t xml:space="preserve">purpose, the same method must be used to determine DPGR.  </w:t>
      </w:r>
    </w:p>
    <w:p w:rsidR="00C25E94" w:rsidRDefault="00AA21AD">
      <w:pPr>
        <w:spacing w:after="180"/>
        <w:ind w:left="722" w:right="43"/>
      </w:pPr>
      <w:r>
        <w:t>An overall de minimis safe harbor test is applicable when small amounts of non-DPGR are present. A taxpayer with less than 5% of total gross receipts from non-DPGR may treat all gross receipts as D</w:t>
      </w:r>
      <w:r>
        <w:t xml:space="preserve">PGR and is not required to allocate. However the safe harbor test is not met in this example. $1,100,000/($3,800,000 + $1,100,000) = 22.4% which is </w:t>
      </w:r>
      <w:r>
        <w:rPr>
          <w:u w:val="single" w:color="000000"/>
        </w:rPr>
        <w:t>not</w:t>
      </w:r>
      <w:r>
        <w:t xml:space="preserve"> less than 5%. </w:t>
      </w:r>
    </w:p>
    <w:p w:rsidR="00C25E94" w:rsidRDefault="00AA21AD">
      <w:pPr>
        <w:spacing w:after="226"/>
        <w:ind w:left="722" w:right="43"/>
      </w:pPr>
      <w:r>
        <w:t xml:space="preserve">Therefore, only the gross receipts derived from the United States qualify ($3,800,000). </w:t>
      </w:r>
    </w:p>
    <w:p w:rsidR="00C25E94" w:rsidRDefault="00AA21AD">
      <w:pPr>
        <w:numPr>
          <w:ilvl w:val="0"/>
          <w:numId w:val="4"/>
        </w:numPr>
        <w:spacing w:after="192"/>
        <w:ind w:right="43" w:hanging="720"/>
      </w:pPr>
      <w:r>
        <w:t>(LO 3) One of the components of DPGR is the lease, rental, license, sale, exchange, or other disposition of qualified production property. Qualified production property (QPP) includes tangible personal property (TPP), computer software, and sound recording</w:t>
      </w:r>
      <w:r>
        <w:t xml:space="preserve">s. To qualify as DPGR, QPP must be manufactured, produced, grown, or extracted (MPGE) in whole or in significant part in the United States. Included in this MPGE definition is the making of QPP out of salvage, scrap, or junk materials or by the use of new </w:t>
      </w:r>
      <w:r>
        <w:t xml:space="preserve">or raw materials. “Making” can involve processing, manipulating, refining, or changing the form of an article or combining or assembling two or more articles. </w:t>
      </w:r>
    </w:p>
    <w:p w:rsidR="00C25E94" w:rsidRDefault="00AA21AD">
      <w:pPr>
        <w:spacing w:after="190"/>
        <w:ind w:left="722" w:right="43"/>
      </w:pPr>
      <w:r>
        <w:t>The “in whole or in significant part” requirement is satisfied if the employer’s MPGE activity i</w:t>
      </w:r>
      <w:r>
        <w:t xml:space="preserve">s substantial in nature. The substantial in nature test is a facts and circumstances test. There is a safe harbor if an employer incurs conversion costs (direct labor and related factory burden) related to MPGE of the property in the United States and the </w:t>
      </w:r>
      <w:r>
        <w:t xml:space="preserve">costs account for 20% or more of the property’s cost of goods sold. </w:t>
      </w:r>
    </w:p>
    <w:p w:rsidR="00C25E94" w:rsidRDefault="00AA21AD">
      <w:pPr>
        <w:spacing w:after="231"/>
        <w:ind w:left="722" w:right="43"/>
      </w:pPr>
      <w:r>
        <w:t>In this example, the garden tool will be treated as manufactured by SafeCo “in significant part” because SafeCo’s labor costs are substantial—they are more than 20% of the taxpayer’s total cost for the garden tool [$15/($20 + $15) = 42.86%]. As a result, S</w:t>
      </w:r>
      <w:r>
        <w:t xml:space="preserve">afeCo’s DPGR is $65, and the full $27 in profit ($65 – $20 – $15 – $3) is QPAI. </w:t>
      </w:r>
    </w:p>
    <w:p w:rsidR="00C25E94" w:rsidRDefault="00AA21AD">
      <w:pPr>
        <w:numPr>
          <w:ilvl w:val="0"/>
          <w:numId w:val="4"/>
        </w:numPr>
        <w:spacing w:after="217"/>
        <w:ind w:right="43" w:hanging="720"/>
      </w:pPr>
      <w:r>
        <w:t xml:space="preserve">(LO 4) The adjustments that are necessary to arrive at qualified production activities income (QPAI) include the following. </w:t>
      </w:r>
    </w:p>
    <w:p w:rsidR="00C25E94" w:rsidRDefault="00AA21AD">
      <w:pPr>
        <w:numPr>
          <w:ilvl w:val="1"/>
          <w:numId w:val="4"/>
        </w:numPr>
        <w:ind w:right="43" w:hanging="721"/>
      </w:pPr>
      <w:r>
        <w:t xml:space="preserve">Cost of goods sold (CGS) </w:t>
      </w:r>
    </w:p>
    <w:p w:rsidR="00C25E94" w:rsidRDefault="00AA21AD">
      <w:pPr>
        <w:numPr>
          <w:ilvl w:val="1"/>
          <w:numId w:val="4"/>
        </w:numPr>
        <w:ind w:right="43" w:hanging="721"/>
      </w:pPr>
      <w:r>
        <w:t xml:space="preserve">Direct costs </w:t>
      </w:r>
    </w:p>
    <w:p w:rsidR="00C25E94" w:rsidRDefault="00AA21AD">
      <w:pPr>
        <w:numPr>
          <w:ilvl w:val="1"/>
          <w:numId w:val="4"/>
        </w:numPr>
        <w:spacing w:after="233"/>
        <w:ind w:right="43" w:hanging="721"/>
      </w:pPr>
      <w:r>
        <w:t xml:space="preserve">Allocable </w:t>
      </w:r>
      <w:r>
        <w:t xml:space="preserve">indirect costs </w:t>
      </w:r>
    </w:p>
    <w:p w:rsidR="00C25E94" w:rsidRDefault="00AA21AD">
      <w:pPr>
        <w:spacing w:after="231"/>
        <w:ind w:left="722" w:right="43"/>
      </w:pPr>
      <w:r>
        <w:lastRenderedPageBreak/>
        <w:t xml:space="preserve">CGS is equal to beginning inventory plus purchases and production costs and less ending inventory. The taxpayer should use the amount of CGS allocable to DPGR that can be identified using its books and records. </w:t>
      </w:r>
    </w:p>
    <w:p w:rsidR="00C25E94" w:rsidRDefault="00AA21AD">
      <w:pPr>
        <w:spacing w:after="230"/>
        <w:ind w:left="722" w:right="43"/>
      </w:pPr>
      <w:r>
        <w:t>The second category of expen</w:t>
      </w:r>
      <w:r>
        <w:t xml:space="preserve">ses (direct costs) includes selling and marketing expenses. The third category (allocable indirect costs) is further removed and includes, for example, general and administrative expenses attributable to the selling and marketing expenses. </w:t>
      </w:r>
    </w:p>
    <w:p w:rsidR="00C25E94" w:rsidRDefault="00AA21AD">
      <w:pPr>
        <w:spacing w:after="192"/>
        <w:ind w:left="722" w:right="43"/>
      </w:pPr>
      <w:r>
        <w:t xml:space="preserve">The second and </w:t>
      </w:r>
      <w:r>
        <w:t xml:space="preserve">third categories of expenses (i.e., direct allocable and indirect allocable) may be allocated by one of three methods. </w:t>
      </w:r>
    </w:p>
    <w:p w:rsidR="00C25E94" w:rsidRDefault="00AA21AD">
      <w:pPr>
        <w:numPr>
          <w:ilvl w:val="1"/>
          <w:numId w:val="5"/>
        </w:numPr>
        <w:ind w:right="43" w:hanging="720"/>
      </w:pPr>
      <w:r>
        <w:t xml:space="preserve">The § 861 Regulation method may be used by all taxpayers but must be used by those taxpayers with average annual gross receipts of more </w:t>
      </w:r>
      <w:r>
        <w:t xml:space="preserve">than $100 million. </w:t>
      </w:r>
    </w:p>
    <w:p w:rsidR="00C25E94" w:rsidRDefault="00AA21AD">
      <w:pPr>
        <w:numPr>
          <w:ilvl w:val="1"/>
          <w:numId w:val="5"/>
        </w:numPr>
        <w:spacing w:after="181"/>
        <w:ind w:right="43" w:hanging="720"/>
      </w:pPr>
      <w:r>
        <w:t xml:space="preserve">For employers with average annual gross receipts of $100 million or less or total assets at the end of the taxable year of $10 million or less, a simplified deduction method based on relative gross receipts is available. </w:t>
      </w:r>
    </w:p>
    <w:p w:rsidR="00C25E94" w:rsidRDefault="00AA21AD">
      <w:pPr>
        <w:numPr>
          <w:ilvl w:val="1"/>
          <w:numId w:val="5"/>
        </w:numPr>
        <w:spacing w:after="191"/>
        <w:ind w:right="43" w:hanging="720"/>
      </w:pPr>
      <w:r>
        <w:t xml:space="preserve">For taxpayers </w:t>
      </w:r>
      <w:r>
        <w:t xml:space="preserve">that have average gross receipts of $5 million or less or are eligible to use the cash method, a small business simplified overall method is available. </w:t>
      </w:r>
    </w:p>
    <w:p w:rsidR="00C25E94" w:rsidRDefault="00AA21AD">
      <w:pPr>
        <w:numPr>
          <w:ilvl w:val="2"/>
          <w:numId w:val="4"/>
        </w:numPr>
        <w:spacing w:after="217"/>
        <w:ind w:right="43" w:hanging="720"/>
      </w:pPr>
      <w:r>
        <w:t>Under the small business simplified overall method, CGS and deductions are apportioned to DPGR in the s</w:t>
      </w:r>
      <w:r>
        <w:t xml:space="preserve">ame proportion DPGR bears to total gross receipts. Thus, Eclipse’s QPAI is computed as follows. </w:t>
      </w:r>
    </w:p>
    <w:p w:rsidR="00C25E94" w:rsidRDefault="00AA21AD">
      <w:pPr>
        <w:tabs>
          <w:tab w:val="center" w:pos="3583"/>
          <w:tab w:val="center" w:pos="6964"/>
        </w:tabs>
        <w:ind w:left="0" w:right="0" w:firstLine="0"/>
        <w:jc w:val="left"/>
      </w:pPr>
      <w:r>
        <w:rPr>
          <w:rFonts w:ascii="Calibri" w:eastAsia="Calibri" w:hAnsi="Calibri" w:cs="Calibri"/>
        </w:rPr>
        <w:tab/>
      </w:r>
      <w:r>
        <w:t xml:space="preserve">DPGR   </w:t>
      </w:r>
      <w:r>
        <w:tab/>
        <w:t xml:space="preserve"> $2,160,000 </w:t>
      </w:r>
    </w:p>
    <w:p w:rsidR="00C25E94" w:rsidRDefault="00AA21AD">
      <w:pPr>
        <w:tabs>
          <w:tab w:val="center" w:pos="4187"/>
          <w:tab w:val="center" w:pos="7031"/>
        </w:tabs>
        <w:spacing w:after="44"/>
        <w:ind w:left="0" w:right="0" w:firstLine="0"/>
        <w:jc w:val="left"/>
      </w:pPr>
      <w:r>
        <w:rPr>
          <w:rFonts w:ascii="Calibri" w:eastAsia="Calibri" w:hAnsi="Calibri" w:cs="Calibri"/>
        </w:rPr>
        <w:tab/>
      </w:r>
      <w:r>
        <w:t xml:space="preserve">Less allowable CGS   </w:t>
      </w:r>
      <w:r>
        <w:tab/>
      </w:r>
      <w:r>
        <w:rPr>
          <w:sz w:val="20"/>
        </w:rPr>
        <w:t xml:space="preserve">     </w:t>
      </w:r>
      <w:r>
        <w:t>(600,000)</w:t>
      </w:r>
      <w:r>
        <w:rPr>
          <w:vertAlign w:val="superscript"/>
        </w:rPr>
        <w:t>1</w:t>
      </w:r>
      <w:r>
        <w:t xml:space="preserve"> </w:t>
      </w:r>
    </w:p>
    <w:p w:rsidR="00C25E94" w:rsidRDefault="00AA21AD">
      <w:pPr>
        <w:tabs>
          <w:tab w:val="center" w:pos="4339"/>
          <w:tab w:val="center" w:pos="7031"/>
        </w:tabs>
        <w:spacing w:after="39"/>
        <w:ind w:left="0" w:right="0" w:firstLine="0"/>
        <w:jc w:val="left"/>
      </w:pPr>
      <w:r>
        <w:rPr>
          <w:rFonts w:ascii="Calibri" w:eastAsia="Calibri" w:hAnsi="Calibri" w:cs="Calibri"/>
        </w:rPr>
        <w:tab/>
      </w:r>
      <w:r>
        <w:t xml:space="preserve">Less allocable expenses   </w:t>
      </w:r>
      <w:r>
        <w:tab/>
      </w:r>
      <w:r>
        <w:rPr>
          <w:sz w:val="20"/>
        </w:rPr>
        <w:t xml:space="preserve"> </w:t>
      </w:r>
      <w:r>
        <w:rPr>
          <w:sz w:val="20"/>
          <w:u w:val="single" w:color="000000"/>
        </w:rPr>
        <w:t xml:space="preserve">    </w:t>
      </w:r>
      <w:r>
        <w:rPr>
          <w:u w:val="single" w:color="000000"/>
        </w:rPr>
        <w:t>(288,000)</w:t>
      </w:r>
      <w:r>
        <w:rPr>
          <w:vertAlign w:val="superscript"/>
        </w:rPr>
        <w:t>2</w:t>
      </w:r>
      <w:r>
        <w:t xml:space="preserve"> </w:t>
      </w:r>
    </w:p>
    <w:p w:rsidR="00C25E94" w:rsidRDefault="00AA21AD">
      <w:pPr>
        <w:tabs>
          <w:tab w:val="center" w:pos="3546"/>
          <w:tab w:val="center" w:pos="6963"/>
        </w:tabs>
        <w:spacing w:after="84"/>
        <w:ind w:left="0" w:right="0" w:firstLine="0"/>
        <w:jc w:val="left"/>
      </w:pPr>
      <w:r>
        <w:rPr>
          <w:rFonts w:ascii="Calibri" w:eastAsia="Calibri" w:hAnsi="Calibri" w:cs="Calibri"/>
        </w:rPr>
        <w:tab/>
      </w:r>
      <w:r>
        <w:t xml:space="preserve">QPAI   </w:t>
      </w:r>
      <w:r>
        <w:tab/>
      </w:r>
      <w:r>
        <w:rPr>
          <w:u w:val="double" w:color="000000"/>
        </w:rPr>
        <w:t xml:space="preserve"> $1,272,000</w:t>
      </w:r>
      <w:r>
        <w:rPr>
          <w:sz w:val="18"/>
          <w:u w:val="double" w:color="000000"/>
        </w:rPr>
        <w:t xml:space="preserve"> </w:t>
      </w:r>
      <w:r>
        <w:t xml:space="preserve"> </w:t>
      </w:r>
    </w:p>
    <w:p w:rsidR="00C25E94" w:rsidRDefault="00AA21AD">
      <w:pPr>
        <w:spacing w:after="0" w:line="259" w:lineRule="auto"/>
        <w:ind w:left="2160" w:right="0" w:firstLine="0"/>
        <w:jc w:val="left"/>
      </w:pPr>
      <w:r>
        <w:rPr>
          <w:sz w:val="13"/>
        </w:rPr>
        <w:t>1</w:t>
      </w:r>
    </w:p>
    <w:p w:rsidR="00C25E94" w:rsidRDefault="00AA21AD">
      <w:pPr>
        <w:spacing w:after="46" w:line="216" w:lineRule="auto"/>
        <w:ind w:left="2145" w:right="1207" w:firstLine="0"/>
        <w:jc w:val="left"/>
      </w:pPr>
      <w:r>
        <w:rPr>
          <w:sz w:val="20"/>
        </w:rPr>
        <w:t xml:space="preserve">CGS allocation: [($2,160,000/$3,600,000) = 60% × $1,000,000 = $600,000] </w:t>
      </w:r>
    </w:p>
    <w:p w:rsidR="00C25E94" w:rsidRDefault="00AA21AD">
      <w:pPr>
        <w:spacing w:after="240" w:line="216" w:lineRule="auto"/>
        <w:ind w:left="2220" w:right="1207" w:hanging="75"/>
        <w:jc w:val="left"/>
      </w:pPr>
      <w:r>
        <w:rPr>
          <w:sz w:val="13"/>
        </w:rPr>
        <w:t xml:space="preserve">2 </w:t>
      </w:r>
      <w:r>
        <w:rPr>
          <w:sz w:val="20"/>
        </w:rPr>
        <w:t xml:space="preserve">Expenses allocation: [($2,160,000/$3,600,000) = 60% × $480,000 = $288,000] </w:t>
      </w:r>
    </w:p>
    <w:p w:rsidR="00C25E94" w:rsidRDefault="00AA21AD">
      <w:pPr>
        <w:numPr>
          <w:ilvl w:val="2"/>
          <w:numId w:val="4"/>
        </w:numPr>
        <w:spacing w:after="219"/>
        <w:ind w:right="43" w:hanging="720"/>
      </w:pPr>
      <w:r>
        <w:t>Presuming that the taxable income and W–2 wage limitations do not intervene, Eclipse’s DPAD is $114,480 (</w:t>
      </w:r>
      <w:r>
        <w:t xml:space="preserve">9% × $1,272,000).  </w:t>
      </w:r>
    </w:p>
    <w:p w:rsidR="00C25E94" w:rsidRDefault="00AA21AD">
      <w:pPr>
        <w:numPr>
          <w:ilvl w:val="0"/>
          <w:numId w:val="4"/>
        </w:numPr>
        <w:ind w:right="43" w:hanging="720"/>
      </w:pPr>
      <w:r>
        <w:t xml:space="preserve">(LO 7) </w:t>
      </w:r>
    </w:p>
    <w:p w:rsidR="00C25E94" w:rsidRDefault="00AA21AD">
      <w:pPr>
        <w:spacing w:after="9" w:line="259" w:lineRule="auto"/>
        <w:ind w:left="720" w:right="0" w:firstLine="0"/>
        <w:jc w:val="left"/>
      </w:pPr>
      <w:r>
        <w:rPr>
          <w:b/>
        </w:rPr>
        <w:t xml:space="preserve"> </w:t>
      </w:r>
    </w:p>
    <w:p w:rsidR="00C25E94" w:rsidRDefault="00AA21AD">
      <w:pPr>
        <w:pStyle w:val="Heading1"/>
        <w:tabs>
          <w:tab w:val="center" w:pos="2537"/>
          <w:tab w:val="center" w:pos="4428"/>
          <w:tab w:val="center" w:pos="6912"/>
          <w:tab w:val="center" w:pos="9396"/>
        </w:tabs>
        <w:ind w:left="0" w:firstLine="0"/>
      </w:pPr>
      <w:r>
        <w:rPr>
          <w:rFonts w:ascii="Calibri" w:eastAsia="Calibri" w:hAnsi="Calibri" w:cs="Calibri"/>
          <w:b w:val="0"/>
        </w:rPr>
        <w:tab/>
      </w:r>
      <w:r>
        <w:t xml:space="preserve">Year </w:t>
      </w:r>
      <w:r>
        <w:tab/>
        <w:t xml:space="preserve">Regular Tax Deduction </w:t>
      </w:r>
      <w:r>
        <w:tab/>
        <w:t xml:space="preserve">AMT Amortization </w:t>
      </w:r>
      <w:r>
        <w:tab/>
        <w:t xml:space="preserve">AMT Adjustments </w:t>
      </w:r>
    </w:p>
    <w:p w:rsidR="00C25E94" w:rsidRDefault="00AA21AD">
      <w:pPr>
        <w:numPr>
          <w:ilvl w:val="0"/>
          <w:numId w:val="6"/>
        </w:numPr>
        <w:ind w:right="43" w:hanging="4182"/>
      </w:pPr>
      <w:r>
        <w:t>$30,000</w:t>
      </w:r>
      <w:r>
        <w:rPr>
          <w:b/>
        </w:rPr>
        <w:t xml:space="preserve"> </w:t>
      </w:r>
      <w:r>
        <w:rPr>
          <w:b/>
        </w:rPr>
        <w:tab/>
      </w:r>
      <w:r>
        <w:t>$10,000</w:t>
      </w:r>
      <w:r>
        <w:rPr>
          <w:b/>
        </w:rPr>
        <w:t xml:space="preserve"> </w:t>
      </w:r>
      <w:r>
        <w:rPr>
          <w:b/>
        </w:rPr>
        <w:tab/>
      </w:r>
      <w:r>
        <w:t>$20,000</w:t>
      </w:r>
      <w:r>
        <w:rPr>
          <w:b/>
        </w:rPr>
        <w:t xml:space="preserve"> </w:t>
      </w:r>
    </w:p>
    <w:p w:rsidR="00C25E94" w:rsidRDefault="00AA21AD">
      <w:pPr>
        <w:numPr>
          <w:ilvl w:val="0"/>
          <w:numId w:val="6"/>
        </w:numPr>
        <w:ind w:right="43" w:hanging="4182"/>
      </w:pPr>
      <w:r>
        <w:t>10,000</w:t>
      </w:r>
      <w:r>
        <w:rPr>
          <w:b/>
        </w:rPr>
        <w:t xml:space="preserve"> </w:t>
      </w:r>
      <w:r>
        <w:rPr>
          <w:b/>
        </w:rPr>
        <w:tab/>
      </w:r>
      <w:r>
        <w:t xml:space="preserve">  (10,000)</w:t>
      </w:r>
      <w:r>
        <w:rPr>
          <w:b/>
        </w:rPr>
        <w:t xml:space="preserve"> </w:t>
      </w:r>
    </w:p>
    <w:p w:rsidR="00C25E94" w:rsidRDefault="00AA21AD">
      <w:pPr>
        <w:numPr>
          <w:ilvl w:val="0"/>
          <w:numId w:val="6"/>
        </w:numPr>
        <w:spacing w:after="0" w:line="259" w:lineRule="auto"/>
        <w:ind w:right="43" w:hanging="4182"/>
      </w:pPr>
      <w:r>
        <w:rPr>
          <w:u w:val="single" w:color="000000"/>
        </w:rPr>
        <w:t>10,000</w:t>
      </w:r>
      <w:r>
        <w:rPr>
          <w:b/>
        </w:rPr>
        <w:t xml:space="preserve"> </w:t>
      </w:r>
      <w:r>
        <w:rPr>
          <w:b/>
        </w:rPr>
        <w:tab/>
      </w:r>
      <w:r>
        <w:rPr>
          <w:u w:val="single" w:color="000000"/>
        </w:rPr>
        <w:t xml:space="preserve">  (10,000</w:t>
      </w:r>
      <w:r>
        <w:t>)</w:t>
      </w:r>
      <w:r>
        <w:rPr>
          <w:b/>
        </w:rPr>
        <w:t xml:space="preserve"> </w:t>
      </w:r>
    </w:p>
    <w:p w:rsidR="00C25E94" w:rsidRDefault="00AA21AD">
      <w:pPr>
        <w:tabs>
          <w:tab w:val="center" w:pos="2539"/>
          <w:tab w:val="center" w:pos="4429"/>
          <w:tab w:val="center" w:pos="6912"/>
          <w:tab w:val="right" w:pos="9725"/>
        </w:tabs>
        <w:spacing w:after="0" w:line="259" w:lineRule="auto"/>
        <w:ind w:left="0" w:right="0" w:firstLine="0"/>
        <w:jc w:val="left"/>
      </w:pPr>
      <w:r>
        <w:rPr>
          <w:rFonts w:ascii="Calibri" w:eastAsia="Calibri" w:hAnsi="Calibri" w:cs="Calibri"/>
        </w:rPr>
        <w:tab/>
      </w:r>
      <w:r>
        <w:t xml:space="preserve">Totals </w:t>
      </w:r>
      <w:r>
        <w:tab/>
      </w:r>
      <w:r>
        <w:rPr>
          <w:u w:val="double" w:color="000000"/>
        </w:rPr>
        <w:t>$30,000</w:t>
      </w:r>
      <w:r>
        <w:rPr>
          <w:b/>
        </w:rPr>
        <w:t xml:space="preserve"> </w:t>
      </w:r>
      <w:r>
        <w:rPr>
          <w:b/>
        </w:rPr>
        <w:tab/>
      </w:r>
      <w:r>
        <w:rPr>
          <w:u w:val="double" w:color="000000"/>
        </w:rPr>
        <w:t>$30,000</w:t>
      </w:r>
      <w:r>
        <w:rPr>
          <w:b/>
        </w:rPr>
        <w:t xml:space="preserve"> </w:t>
      </w:r>
      <w:r>
        <w:rPr>
          <w:b/>
        </w:rPr>
        <w:tab/>
      </w:r>
      <w:r>
        <w:rPr>
          <w:u w:val="double" w:color="000000"/>
        </w:rPr>
        <w:t>$      –0–</w:t>
      </w:r>
      <w:r>
        <w:rPr>
          <w:b/>
        </w:rPr>
        <w:t xml:space="preserve"> </w:t>
      </w:r>
    </w:p>
    <w:p w:rsidR="00C25E94" w:rsidRDefault="00AA21AD">
      <w:pPr>
        <w:spacing w:line="259" w:lineRule="auto"/>
        <w:ind w:left="0" w:right="0" w:firstLine="0"/>
        <w:jc w:val="left"/>
      </w:pPr>
      <w:r>
        <w:t xml:space="preserve"> </w:t>
      </w:r>
    </w:p>
    <w:p w:rsidR="00C25E94" w:rsidRDefault="00AA21AD">
      <w:pPr>
        <w:tabs>
          <w:tab w:val="center" w:pos="1218"/>
          <w:tab w:val="center" w:pos="2102"/>
        </w:tabs>
        <w:spacing w:after="26"/>
        <w:ind w:left="-15" w:right="0" w:firstLine="0"/>
        <w:jc w:val="left"/>
      </w:pPr>
      <w:r>
        <w:rPr>
          <w:rFonts w:ascii="Calibri" w:eastAsia="Calibri" w:hAnsi="Calibri" w:cs="Calibri"/>
        </w:rPr>
        <w:tab/>
      </w:r>
      <w:r>
        <w:t xml:space="preserve">30. </w:t>
      </w:r>
      <w:r>
        <w:tab/>
        <w:t xml:space="preserve">(LO 7) </w:t>
      </w:r>
    </w:p>
    <w:p w:rsidR="00C25E94" w:rsidRDefault="00AA21AD">
      <w:pPr>
        <w:pStyle w:val="Heading1"/>
        <w:tabs>
          <w:tab w:val="center" w:pos="2537"/>
          <w:tab w:val="center" w:pos="4426"/>
          <w:tab w:val="center" w:pos="6910"/>
          <w:tab w:val="center" w:pos="9394"/>
        </w:tabs>
        <w:ind w:left="0" w:firstLine="0"/>
      </w:pPr>
      <w:r>
        <w:rPr>
          <w:rFonts w:ascii="Calibri" w:eastAsia="Calibri" w:hAnsi="Calibri" w:cs="Calibri"/>
          <w:b w:val="0"/>
        </w:rPr>
        <w:tab/>
      </w:r>
      <w:r>
        <w:t xml:space="preserve">Year </w:t>
      </w:r>
      <w:r>
        <w:tab/>
        <w:t xml:space="preserve">Regular Tax income </w:t>
      </w:r>
      <w:r>
        <w:tab/>
        <w:t xml:space="preserve">AMT income </w:t>
      </w:r>
      <w:r>
        <w:tab/>
        <w:t xml:space="preserve">AMT Adjustments </w:t>
      </w:r>
    </w:p>
    <w:p w:rsidR="00C25E94" w:rsidRDefault="00AA21AD">
      <w:pPr>
        <w:numPr>
          <w:ilvl w:val="0"/>
          <w:numId w:val="7"/>
        </w:numPr>
        <w:ind w:right="43" w:hanging="1726"/>
      </w:pPr>
      <w:r>
        <w:t>$          –0–</w:t>
      </w:r>
      <w:r>
        <w:rPr>
          <w:b/>
        </w:rPr>
        <w:t xml:space="preserve"> </w:t>
      </w:r>
      <w:r>
        <w:rPr>
          <w:b/>
        </w:rPr>
        <w:tab/>
      </w:r>
      <w:r>
        <w:t>$720,000*</w:t>
      </w:r>
      <w:r>
        <w:rPr>
          <w:b/>
        </w:rPr>
        <w:t xml:space="preserve"> </w:t>
      </w:r>
      <w:r>
        <w:rPr>
          <w:b/>
        </w:rPr>
        <w:tab/>
      </w:r>
      <w:r>
        <w:t>$720,000</w:t>
      </w:r>
      <w:r>
        <w:rPr>
          <w:b/>
        </w:rPr>
        <w:t xml:space="preserve"> </w:t>
      </w:r>
    </w:p>
    <w:p w:rsidR="00C25E94" w:rsidRDefault="00AA21AD">
      <w:pPr>
        <w:numPr>
          <w:ilvl w:val="0"/>
          <w:numId w:val="7"/>
        </w:numPr>
        <w:ind w:right="43" w:hanging="1726"/>
      </w:pPr>
      <w:r>
        <w:t>1,600,000</w:t>
      </w:r>
      <w:r>
        <w:rPr>
          <w:b/>
        </w:rPr>
        <w:t xml:space="preserve"> </w:t>
      </w:r>
      <w:r>
        <w:rPr>
          <w:b/>
        </w:rPr>
        <w:tab/>
      </w:r>
      <w:r>
        <w:t>880,000</w:t>
      </w:r>
      <w:r>
        <w:rPr>
          <w:b/>
        </w:rPr>
        <w:t xml:space="preserve"> </w:t>
      </w:r>
      <w:r>
        <w:rPr>
          <w:b/>
        </w:rPr>
        <w:tab/>
      </w:r>
      <w:r>
        <w:t xml:space="preserve">  (720,000)</w:t>
      </w:r>
      <w:r>
        <w:rPr>
          <w:b/>
        </w:rPr>
        <w:t xml:space="preserve"> </w:t>
      </w:r>
    </w:p>
    <w:p w:rsidR="00C25E94" w:rsidRDefault="00AA21AD">
      <w:pPr>
        <w:spacing w:after="0" w:line="259" w:lineRule="auto"/>
        <w:ind w:left="0" w:right="0" w:firstLine="0"/>
        <w:jc w:val="left"/>
      </w:pPr>
      <w:r>
        <w:t xml:space="preserve"> </w:t>
      </w:r>
    </w:p>
    <w:p w:rsidR="00C25E94" w:rsidRDefault="00AA21AD">
      <w:pPr>
        <w:ind w:left="722" w:right="43"/>
      </w:pPr>
      <w:r>
        <w:t xml:space="preserve">*$1,600,000 </w:t>
      </w:r>
      <w:r>
        <w:rPr>
          <w:rFonts w:ascii="Segoe UI Symbol" w:eastAsia="Segoe UI Symbol" w:hAnsi="Segoe UI Symbol" w:cs="Segoe UI Symbol"/>
        </w:rPr>
        <w:t>×</w:t>
      </w:r>
      <w:r>
        <w:t xml:space="preserve"> 45% </w:t>
      </w:r>
    </w:p>
    <w:p w:rsidR="00C25E94" w:rsidRDefault="00AA21AD">
      <w:pPr>
        <w:spacing w:after="0" w:line="259" w:lineRule="auto"/>
        <w:ind w:left="0" w:right="0" w:firstLine="0"/>
        <w:jc w:val="left"/>
      </w:pPr>
      <w:r>
        <w:lastRenderedPageBreak/>
        <w:t xml:space="preserve"> </w:t>
      </w:r>
    </w:p>
    <w:p w:rsidR="00C25E94" w:rsidRDefault="00AA21AD">
      <w:pPr>
        <w:numPr>
          <w:ilvl w:val="0"/>
          <w:numId w:val="8"/>
        </w:numPr>
        <w:ind w:right="43" w:hanging="720"/>
      </w:pPr>
      <w:r>
        <w:t xml:space="preserve">(LO 7)  Red, Inc., has a </w:t>
      </w:r>
      <w:r>
        <w:rPr>
          <w:i/>
        </w:rPr>
        <w:t>negative</w:t>
      </w:r>
      <w:r>
        <w:t xml:space="preserve"> AMT adjustment of $2,740 (the difference between the regular tax gain of $81,662 and the alternative minimum tax gain of $78,922). As the AMT gain is less than the regular tax gain, the AMT adjustment </w:t>
      </w:r>
      <w:r>
        <w:rPr>
          <w:i/>
        </w:rPr>
        <w:t>reduces</w:t>
      </w:r>
      <w:r>
        <w:t xml:space="preserve"> regular taxable income in computing AMTI. </w:t>
      </w:r>
    </w:p>
    <w:p w:rsidR="00C25E94" w:rsidRDefault="00AA21AD">
      <w:pPr>
        <w:spacing w:line="259" w:lineRule="auto"/>
        <w:ind w:left="0" w:right="0" w:firstLine="0"/>
        <w:jc w:val="left"/>
      </w:pPr>
      <w:r>
        <w:t xml:space="preserve"> </w:t>
      </w:r>
    </w:p>
    <w:p w:rsidR="00C25E94" w:rsidRDefault="00AA21AD">
      <w:pPr>
        <w:numPr>
          <w:ilvl w:val="0"/>
          <w:numId w:val="8"/>
        </w:numPr>
        <w:ind w:right="43" w:hanging="720"/>
      </w:pPr>
      <w:r>
        <w:t>(</w:t>
      </w:r>
      <w:r>
        <w:t xml:space="preserve">LO 7)  Haiyan’s AMT exemption is $22,500, computed as follows. </w:t>
      </w:r>
    </w:p>
    <w:p w:rsidR="00C25E94" w:rsidRDefault="00AA21AD">
      <w:pPr>
        <w:spacing w:after="11" w:line="259" w:lineRule="auto"/>
        <w:ind w:left="0" w:right="0" w:firstLine="0"/>
        <w:jc w:val="left"/>
      </w:pPr>
      <w:r>
        <w:t xml:space="preserve"> </w:t>
      </w:r>
      <w:r>
        <w:tab/>
        <w:t xml:space="preserve"> </w:t>
      </w:r>
    </w:p>
    <w:p w:rsidR="00C25E94" w:rsidRDefault="00AA21AD">
      <w:pPr>
        <w:tabs>
          <w:tab w:val="center" w:pos="2081"/>
          <w:tab w:val="center" w:pos="3241"/>
          <w:tab w:val="center" w:pos="3961"/>
          <w:tab w:val="center" w:pos="4681"/>
          <w:tab w:val="center" w:pos="5813"/>
        </w:tabs>
        <w:ind w:left="0" w:right="0" w:firstLine="0"/>
        <w:jc w:val="left"/>
      </w:pPr>
      <w:r>
        <w:rPr>
          <w:rFonts w:ascii="Calibri" w:eastAsia="Calibri" w:hAnsi="Calibri" w:cs="Calibri"/>
        </w:rPr>
        <w:tab/>
      </w:r>
      <w:r>
        <w:t xml:space="preserve">AMTI   </w:t>
      </w:r>
      <w:r>
        <w:tab/>
        <w:t xml:space="preserve"> </w:t>
      </w:r>
      <w:r>
        <w:tab/>
        <w:t xml:space="preserve"> </w:t>
      </w:r>
      <w:r>
        <w:tab/>
        <w:t xml:space="preserve"> </w:t>
      </w:r>
      <w:r>
        <w:tab/>
        <w:t xml:space="preserve">$220,000 </w:t>
      </w:r>
    </w:p>
    <w:p w:rsidR="00C25E94" w:rsidRDefault="00AA21AD">
      <w:pPr>
        <w:tabs>
          <w:tab w:val="center" w:pos="1080"/>
          <w:tab w:val="center" w:pos="4030"/>
        </w:tabs>
        <w:ind w:left="-15" w:right="0" w:firstLine="0"/>
        <w:jc w:val="left"/>
      </w:pPr>
      <w:r>
        <w:rPr>
          <w:rFonts w:ascii="Calibri" w:eastAsia="Calibri" w:hAnsi="Calibri" w:cs="Calibri"/>
        </w:rPr>
        <w:tab/>
      </w:r>
      <w:r>
        <w:t xml:space="preserve"> </w:t>
      </w:r>
      <w:r>
        <w:tab/>
        <w:t xml:space="preserve">Phase-out amount                                     </w:t>
      </w:r>
      <w:r>
        <w:rPr>
          <w:u w:val="single" w:color="000000"/>
        </w:rPr>
        <w:t>(150,000</w:t>
      </w:r>
      <w:r>
        <w:t xml:space="preserve">) </w:t>
      </w:r>
    </w:p>
    <w:p w:rsidR="00C25E94" w:rsidRDefault="00AA21AD">
      <w:pPr>
        <w:tabs>
          <w:tab w:val="center" w:pos="2105"/>
          <w:tab w:val="center" w:pos="3241"/>
          <w:tab w:val="center" w:pos="3961"/>
          <w:tab w:val="center" w:pos="4681"/>
          <w:tab w:val="center" w:pos="5785"/>
        </w:tabs>
        <w:ind w:left="0" w:right="0" w:firstLine="0"/>
        <w:jc w:val="left"/>
      </w:pPr>
      <w:r>
        <w:rPr>
          <w:rFonts w:ascii="Calibri" w:eastAsia="Calibri" w:hAnsi="Calibri" w:cs="Calibri"/>
        </w:rPr>
        <w:tab/>
      </w:r>
      <w:r>
        <w:t xml:space="preserve">Excess   </w:t>
      </w:r>
      <w:r>
        <w:tab/>
        <w:t xml:space="preserve"> </w:t>
      </w:r>
      <w:r>
        <w:tab/>
        <w:t xml:space="preserve"> </w:t>
      </w:r>
      <w:r>
        <w:tab/>
        <w:t xml:space="preserve"> </w:t>
      </w:r>
      <w:r>
        <w:tab/>
        <w:t xml:space="preserve">$ 70,000 </w:t>
      </w:r>
    </w:p>
    <w:p w:rsidR="00C25E94" w:rsidRDefault="00AA21AD">
      <w:pPr>
        <w:tabs>
          <w:tab w:val="center" w:pos="1080"/>
          <w:tab w:val="center" w:pos="2738"/>
          <w:tab w:val="center" w:pos="4681"/>
          <w:tab w:val="center" w:pos="5802"/>
        </w:tabs>
        <w:ind w:left="-15" w:right="0" w:firstLine="0"/>
        <w:jc w:val="left"/>
      </w:pPr>
      <w:r>
        <w:rPr>
          <w:rFonts w:ascii="Calibri" w:eastAsia="Calibri" w:hAnsi="Calibri" w:cs="Calibri"/>
        </w:rPr>
        <w:tab/>
      </w:r>
      <w:r>
        <w:t xml:space="preserve"> </w:t>
      </w:r>
      <w:r>
        <w:tab/>
        <w:t xml:space="preserve">Phase-out percentage     </w:t>
      </w:r>
      <w:r>
        <w:tab/>
        <w:t xml:space="preserve"> </w:t>
      </w:r>
      <w:r>
        <w:tab/>
      </w:r>
      <w:r>
        <w:rPr>
          <w:u w:val="single" w:color="000000"/>
        </w:rPr>
        <w:t>×     25%</w:t>
      </w:r>
      <w:r>
        <w:t xml:space="preserve"> </w:t>
      </w:r>
    </w:p>
    <w:p w:rsidR="00C25E94" w:rsidRDefault="00AA21AD">
      <w:pPr>
        <w:tabs>
          <w:tab w:val="center" w:pos="1080"/>
          <w:tab w:val="center" w:pos="2592"/>
          <w:tab w:val="center" w:pos="3960"/>
          <w:tab w:val="center" w:pos="4680"/>
          <w:tab w:val="center" w:pos="5786"/>
        </w:tabs>
        <w:ind w:left="-15" w:right="0" w:firstLine="0"/>
        <w:jc w:val="left"/>
      </w:pPr>
      <w:r>
        <w:rPr>
          <w:rFonts w:ascii="Calibri" w:eastAsia="Calibri" w:hAnsi="Calibri" w:cs="Calibri"/>
        </w:rPr>
        <w:tab/>
      </w:r>
      <w:r>
        <w:t xml:space="preserve"> </w:t>
      </w:r>
      <w:r>
        <w:tab/>
        <w:t xml:space="preserve">Phase-out amount </w:t>
      </w:r>
      <w:r>
        <w:tab/>
        <w:t xml:space="preserve"> </w:t>
      </w:r>
      <w:r>
        <w:tab/>
        <w:t xml:space="preserve"> </w:t>
      </w:r>
      <w:r>
        <w:tab/>
      </w:r>
      <w:r>
        <w:rPr>
          <w:u w:val="double" w:color="000000"/>
        </w:rPr>
        <w:t>$ 17,500</w:t>
      </w:r>
      <w:r>
        <w:t xml:space="preserve"> </w:t>
      </w:r>
    </w:p>
    <w:p w:rsidR="00C25E94" w:rsidRDefault="00AA21AD">
      <w:pPr>
        <w:spacing w:after="4" w:line="259" w:lineRule="auto"/>
        <w:ind w:left="0" w:right="0" w:firstLine="0"/>
        <w:jc w:val="left"/>
      </w:pPr>
      <w:r>
        <w:t xml:space="preserve"> </w:t>
      </w:r>
    </w:p>
    <w:p w:rsidR="00C25E94" w:rsidRDefault="00AA21AD">
      <w:pPr>
        <w:tabs>
          <w:tab w:val="center" w:pos="2640"/>
          <w:tab w:val="center" w:pos="5785"/>
        </w:tabs>
        <w:ind w:left="0" w:right="0" w:firstLine="0"/>
        <w:jc w:val="left"/>
      </w:pPr>
      <w:r>
        <w:rPr>
          <w:rFonts w:ascii="Calibri" w:eastAsia="Calibri" w:hAnsi="Calibri" w:cs="Calibri"/>
        </w:rPr>
        <w:tab/>
      </w:r>
      <w:r>
        <w:t xml:space="preserve">Exemption amount                       </w:t>
      </w:r>
      <w:r>
        <w:tab/>
        <w:t xml:space="preserve">$ 40,000 </w:t>
      </w:r>
    </w:p>
    <w:p w:rsidR="00C25E94" w:rsidRDefault="00AA21AD">
      <w:pPr>
        <w:ind w:left="-13" w:right="3683"/>
      </w:pPr>
      <w:r>
        <w:t xml:space="preserve"> Less: Phase-out amount   </w:t>
      </w:r>
      <w:r>
        <w:rPr>
          <w:u w:val="single" w:color="000000"/>
        </w:rPr>
        <w:t>(  17,500</w:t>
      </w:r>
      <w:r>
        <w:t xml:space="preserve">)  Available exemption   </w:t>
      </w:r>
      <w:r>
        <w:rPr>
          <w:u w:val="double" w:color="000000"/>
        </w:rPr>
        <w:t>$ 22,500</w:t>
      </w:r>
      <w:r>
        <w:t xml:space="preserve"> </w:t>
      </w:r>
    </w:p>
    <w:p w:rsidR="00C25E94" w:rsidRDefault="00AA21AD">
      <w:pPr>
        <w:numPr>
          <w:ilvl w:val="0"/>
          <w:numId w:val="8"/>
        </w:numPr>
        <w:ind w:right="43" w:hanging="720"/>
      </w:pPr>
      <w:r>
        <w:t xml:space="preserve">(LO 7)  </w:t>
      </w:r>
    </w:p>
    <w:tbl>
      <w:tblPr>
        <w:tblStyle w:val="TableGrid"/>
        <w:tblW w:w="9018" w:type="dxa"/>
        <w:tblInd w:w="810" w:type="dxa"/>
        <w:tblCellMar>
          <w:top w:w="0" w:type="dxa"/>
          <w:left w:w="108" w:type="dxa"/>
          <w:bottom w:w="6" w:type="dxa"/>
          <w:right w:w="84" w:type="dxa"/>
        </w:tblCellMar>
        <w:tblLook w:val="04A0" w:firstRow="1" w:lastRow="0" w:firstColumn="1" w:lastColumn="0" w:noHBand="0" w:noVBand="1"/>
      </w:tblPr>
      <w:tblGrid>
        <w:gridCol w:w="1575"/>
        <w:gridCol w:w="1615"/>
        <w:gridCol w:w="1686"/>
        <w:gridCol w:w="2056"/>
        <w:gridCol w:w="2086"/>
      </w:tblGrid>
      <w:tr w:rsidR="00C25E94">
        <w:trPr>
          <w:trHeight w:val="384"/>
        </w:trPr>
        <w:tc>
          <w:tcPr>
            <w:tcW w:w="1576" w:type="dxa"/>
            <w:tcBorders>
              <w:top w:val="single" w:sz="4" w:space="0" w:color="000000"/>
              <w:left w:val="single" w:sz="4" w:space="0" w:color="000000"/>
              <w:bottom w:val="single" w:sz="4" w:space="0" w:color="000000"/>
              <w:right w:val="single" w:sz="4" w:space="0" w:color="000000"/>
            </w:tcBorders>
            <w:vAlign w:val="bottom"/>
          </w:tcPr>
          <w:p w:rsidR="00C25E94" w:rsidRDefault="00AA21AD">
            <w:pPr>
              <w:spacing w:after="0" w:line="259" w:lineRule="auto"/>
              <w:ind w:left="0" w:right="24" w:firstLine="0"/>
              <w:jc w:val="center"/>
            </w:pPr>
            <w:r>
              <w:rPr>
                <w:b/>
              </w:rPr>
              <w:t xml:space="preserve">Year </w:t>
            </w:r>
          </w:p>
        </w:tc>
        <w:tc>
          <w:tcPr>
            <w:tcW w:w="5357" w:type="dxa"/>
            <w:gridSpan w:val="3"/>
            <w:tcBorders>
              <w:top w:val="single" w:sz="4" w:space="0" w:color="000000"/>
              <w:left w:val="single" w:sz="4" w:space="0" w:color="000000"/>
              <w:bottom w:val="single" w:sz="4" w:space="0" w:color="000000"/>
              <w:right w:val="single" w:sz="4" w:space="0" w:color="000000"/>
            </w:tcBorders>
            <w:vAlign w:val="bottom"/>
          </w:tcPr>
          <w:p w:rsidR="00C25E94" w:rsidRDefault="00AA21AD">
            <w:pPr>
              <w:spacing w:after="0" w:line="259" w:lineRule="auto"/>
              <w:ind w:left="0" w:right="0" w:firstLine="0"/>
              <w:jc w:val="left"/>
            </w:pPr>
            <w:r>
              <w:rPr>
                <w:b/>
              </w:rPr>
              <w:t xml:space="preserve">Tax Deduction </w:t>
            </w:r>
            <w:r>
              <w:t>–</w:t>
            </w:r>
            <w:r>
              <w:rPr>
                <w:b/>
              </w:rPr>
              <w:t xml:space="preserve"> AMT Deduction </w:t>
            </w:r>
            <w:r>
              <w:t xml:space="preserve">= </w:t>
            </w:r>
            <w:r>
              <w:rPr>
                <w:b/>
              </w:rPr>
              <w:t xml:space="preserve"> AMT Adjustment</w:t>
            </w:r>
            <w:r>
              <w:t xml:space="preserve"> </w:t>
            </w:r>
          </w:p>
        </w:tc>
        <w:tc>
          <w:tcPr>
            <w:tcW w:w="2086" w:type="dxa"/>
            <w:tcBorders>
              <w:top w:val="single" w:sz="4" w:space="0" w:color="000000"/>
              <w:left w:val="single" w:sz="4" w:space="0" w:color="000000"/>
              <w:bottom w:val="single" w:sz="4" w:space="0" w:color="000000"/>
              <w:right w:val="single" w:sz="4" w:space="0" w:color="000000"/>
            </w:tcBorders>
            <w:vAlign w:val="bottom"/>
          </w:tcPr>
          <w:p w:rsidR="00C25E94" w:rsidRDefault="00AA21AD">
            <w:pPr>
              <w:spacing w:after="0" w:line="259" w:lineRule="auto"/>
              <w:ind w:left="0" w:right="0" w:firstLine="0"/>
              <w:jc w:val="left"/>
            </w:pPr>
            <w:r>
              <w:rPr>
                <w:b/>
              </w:rPr>
              <w:t>Increases/Decreases</w:t>
            </w:r>
          </w:p>
        </w:tc>
      </w:tr>
      <w:tr w:rsidR="00C25E94">
        <w:trPr>
          <w:trHeight w:val="383"/>
        </w:trPr>
        <w:tc>
          <w:tcPr>
            <w:tcW w:w="1576" w:type="dxa"/>
            <w:tcBorders>
              <w:top w:val="single" w:sz="4" w:space="0" w:color="000000"/>
              <w:left w:val="single" w:sz="4" w:space="0" w:color="000000"/>
              <w:bottom w:val="single" w:sz="4" w:space="0" w:color="000000"/>
              <w:right w:val="single" w:sz="4" w:space="0" w:color="000000"/>
            </w:tcBorders>
            <w:vAlign w:val="bottom"/>
          </w:tcPr>
          <w:p w:rsidR="00C25E94" w:rsidRDefault="00AA21AD">
            <w:pPr>
              <w:spacing w:after="0" w:line="259" w:lineRule="auto"/>
              <w:ind w:left="0" w:right="24" w:firstLine="0"/>
              <w:jc w:val="center"/>
            </w:pPr>
            <w:r>
              <w:t xml:space="preserve">2017 </w:t>
            </w:r>
          </w:p>
        </w:tc>
        <w:tc>
          <w:tcPr>
            <w:tcW w:w="1615" w:type="dxa"/>
            <w:tcBorders>
              <w:top w:val="single" w:sz="4" w:space="0" w:color="000000"/>
              <w:left w:val="single" w:sz="4" w:space="0" w:color="000000"/>
              <w:bottom w:val="single" w:sz="4" w:space="0" w:color="000000"/>
              <w:right w:val="single" w:sz="4" w:space="0" w:color="000000"/>
            </w:tcBorders>
            <w:vAlign w:val="bottom"/>
          </w:tcPr>
          <w:p w:rsidR="00C25E94" w:rsidRDefault="00AA21AD">
            <w:pPr>
              <w:spacing w:after="0" w:line="259" w:lineRule="auto"/>
              <w:ind w:left="0" w:right="25" w:firstLine="0"/>
              <w:jc w:val="center"/>
            </w:pPr>
            <w:r>
              <w:t xml:space="preserve">$1,667 </w:t>
            </w:r>
          </w:p>
        </w:tc>
        <w:tc>
          <w:tcPr>
            <w:tcW w:w="1686" w:type="dxa"/>
            <w:tcBorders>
              <w:top w:val="single" w:sz="4" w:space="0" w:color="000000"/>
              <w:left w:val="single" w:sz="4" w:space="0" w:color="000000"/>
              <w:bottom w:val="single" w:sz="4" w:space="0" w:color="000000"/>
              <w:right w:val="single" w:sz="4" w:space="0" w:color="000000"/>
            </w:tcBorders>
            <w:vAlign w:val="bottom"/>
          </w:tcPr>
          <w:p w:rsidR="00C25E94" w:rsidRDefault="00AA21AD">
            <w:pPr>
              <w:spacing w:after="0" w:line="259" w:lineRule="auto"/>
              <w:ind w:left="0" w:right="26" w:firstLine="0"/>
              <w:jc w:val="center"/>
            </w:pPr>
            <w:r>
              <w:t xml:space="preserve">$1,250 </w:t>
            </w:r>
          </w:p>
        </w:tc>
        <w:tc>
          <w:tcPr>
            <w:tcW w:w="2056" w:type="dxa"/>
            <w:tcBorders>
              <w:top w:val="single" w:sz="4" w:space="0" w:color="000000"/>
              <w:left w:val="single" w:sz="4" w:space="0" w:color="000000"/>
              <w:bottom w:val="single" w:sz="4" w:space="0" w:color="000000"/>
              <w:right w:val="single" w:sz="4" w:space="0" w:color="000000"/>
            </w:tcBorders>
            <w:vAlign w:val="bottom"/>
          </w:tcPr>
          <w:p w:rsidR="00C25E94" w:rsidRDefault="00AA21AD">
            <w:pPr>
              <w:spacing w:after="0" w:line="259" w:lineRule="auto"/>
              <w:ind w:left="0" w:right="29" w:firstLine="0"/>
              <w:jc w:val="center"/>
            </w:pPr>
            <w:r>
              <w:t xml:space="preserve">$417 </w:t>
            </w:r>
          </w:p>
        </w:tc>
        <w:tc>
          <w:tcPr>
            <w:tcW w:w="2086" w:type="dxa"/>
            <w:tcBorders>
              <w:top w:val="single" w:sz="4" w:space="0" w:color="000000"/>
              <w:left w:val="single" w:sz="4" w:space="0" w:color="000000"/>
              <w:bottom w:val="single" w:sz="4" w:space="0" w:color="000000"/>
              <w:right w:val="single" w:sz="4" w:space="0" w:color="000000"/>
            </w:tcBorders>
            <w:vAlign w:val="bottom"/>
          </w:tcPr>
          <w:p w:rsidR="00C25E94" w:rsidRDefault="00AA21AD">
            <w:pPr>
              <w:spacing w:after="0" w:line="259" w:lineRule="auto"/>
              <w:ind w:left="0" w:right="26" w:firstLine="0"/>
              <w:jc w:val="center"/>
            </w:pPr>
            <w:r>
              <w:t xml:space="preserve">Increases </w:t>
            </w:r>
          </w:p>
        </w:tc>
      </w:tr>
      <w:tr w:rsidR="00C25E94">
        <w:trPr>
          <w:trHeight w:val="383"/>
        </w:trPr>
        <w:tc>
          <w:tcPr>
            <w:tcW w:w="1576" w:type="dxa"/>
            <w:tcBorders>
              <w:top w:val="single" w:sz="4" w:space="0" w:color="000000"/>
              <w:left w:val="single" w:sz="4" w:space="0" w:color="000000"/>
              <w:bottom w:val="single" w:sz="4" w:space="0" w:color="000000"/>
              <w:right w:val="single" w:sz="4" w:space="0" w:color="000000"/>
            </w:tcBorders>
            <w:vAlign w:val="bottom"/>
          </w:tcPr>
          <w:p w:rsidR="00C25E94" w:rsidRDefault="00AA21AD">
            <w:pPr>
              <w:spacing w:after="0" w:line="259" w:lineRule="auto"/>
              <w:ind w:left="0" w:right="24" w:firstLine="0"/>
              <w:jc w:val="center"/>
            </w:pPr>
            <w:r>
              <w:t xml:space="preserve">2018 </w:t>
            </w:r>
          </w:p>
        </w:tc>
        <w:tc>
          <w:tcPr>
            <w:tcW w:w="1615" w:type="dxa"/>
            <w:tcBorders>
              <w:top w:val="single" w:sz="4" w:space="0" w:color="000000"/>
              <w:left w:val="single" w:sz="4" w:space="0" w:color="000000"/>
              <w:bottom w:val="single" w:sz="4" w:space="0" w:color="000000"/>
              <w:right w:val="single" w:sz="4" w:space="0" w:color="000000"/>
            </w:tcBorders>
            <w:vAlign w:val="bottom"/>
          </w:tcPr>
          <w:p w:rsidR="00C25E94" w:rsidRDefault="00AA21AD">
            <w:pPr>
              <w:spacing w:after="0" w:line="259" w:lineRule="auto"/>
              <w:ind w:left="0" w:right="25" w:firstLine="0"/>
              <w:jc w:val="center"/>
            </w:pPr>
            <w:r>
              <w:t xml:space="preserve">$2,222 </w:t>
            </w:r>
          </w:p>
        </w:tc>
        <w:tc>
          <w:tcPr>
            <w:tcW w:w="1686" w:type="dxa"/>
            <w:tcBorders>
              <w:top w:val="single" w:sz="4" w:space="0" w:color="000000"/>
              <w:left w:val="single" w:sz="4" w:space="0" w:color="000000"/>
              <w:bottom w:val="single" w:sz="4" w:space="0" w:color="000000"/>
              <w:right w:val="single" w:sz="4" w:space="0" w:color="000000"/>
            </w:tcBorders>
            <w:vAlign w:val="bottom"/>
          </w:tcPr>
          <w:p w:rsidR="00C25E94" w:rsidRDefault="00AA21AD">
            <w:pPr>
              <w:spacing w:after="0" w:line="259" w:lineRule="auto"/>
              <w:ind w:left="0" w:right="26" w:firstLine="0"/>
              <w:jc w:val="center"/>
            </w:pPr>
            <w:r>
              <w:t xml:space="preserve">$1,875 </w:t>
            </w:r>
          </w:p>
        </w:tc>
        <w:tc>
          <w:tcPr>
            <w:tcW w:w="2056" w:type="dxa"/>
            <w:tcBorders>
              <w:top w:val="single" w:sz="4" w:space="0" w:color="000000"/>
              <w:left w:val="single" w:sz="4" w:space="0" w:color="000000"/>
              <w:bottom w:val="single" w:sz="4" w:space="0" w:color="000000"/>
              <w:right w:val="single" w:sz="4" w:space="0" w:color="000000"/>
            </w:tcBorders>
            <w:vAlign w:val="bottom"/>
          </w:tcPr>
          <w:p w:rsidR="00C25E94" w:rsidRDefault="00AA21AD">
            <w:pPr>
              <w:spacing w:after="0" w:line="259" w:lineRule="auto"/>
              <w:ind w:left="0" w:right="29" w:firstLine="0"/>
              <w:jc w:val="center"/>
            </w:pPr>
            <w:r>
              <w:t xml:space="preserve">$347 </w:t>
            </w:r>
          </w:p>
        </w:tc>
        <w:tc>
          <w:tcPr>
            <w:tcW w:w="2086" w:type="dxa"/>
            <w:tcBorders>
              <w:top w:val="single" w:sz="4" w:space="0" w:color="000000"/>
              <w:left w:val="single" w:sz="4" w:space="0" w:color="000000"/>
              <w:bottom w:val="single" w:sz="4" w:space="0" w:color="000000"/>
              <w:right w:val="single" w:sz="4" w:space="0" w:color="000000"/>
            </w:tcBorders>
            <w:vAlign w:val="bottom"/>
          </w:tcPr>
          <w:p w:rsidR="00C25E94" w:rsidRDefault="00AA21AD">
            <w:pPr>
              <w:spacing w:after="0" w:line="259" w:lineRule="auto"/>
              <w:ind w:left="0" w:right="26" w:firstLine="0"/>
              <w:jc w:val="center"/>
            </w:pPr>
            <w:r>
              <w:t xml:space="preserve">Increases </w:t>
            </w:r>
          </w:p>
        </w:tc>
      </w:tr>
      <w:tr w:rsidR="00C25E94">
        <w:trPr>
          <w:trHeight w:val="383"/>
        </w:trPr>
        <w:tc>
          <w:tcPr>
            <w:tcW w:w="1576" w:type="dxa"/>
            <w:tcBorders>
              <w:top w:val="single" w:sz="4" w:space="0" w:color="000000"/>
              <w:left w:val="single" w:sz="4" w:space="0" w:color="000000"/>
              <w:bottom w:val="single" w:sz="4" w:space="0" w:color="000000"/>
              <w:right w:val="single" w:sz="4" w:space="0" w:color="000000"/>
            </w:tcBorders>
            <w:vAlign w:val="bottom"/>
          </w:tcPr>
          <w:p w:rsidR="00C25E94" w:rsidRDefault="00AA21AD">
            <w:pPr>
              <w:spacing w:after="0" w:line="259" w:lineRule="auto"/>
              <w:ind w:left="0" w:right="24" w:firstLine="0"/>
              <w:jc w:val="center"/>
            </w:pPr>
            <w:r>
              <w:t xml:space="preserve">2019 </w:t>
            </w:r>
          </w:p>
        </w:tc>
        <w:tc>
          <w:tcPr>
            <w:tcW w:w="1615" w:type="dxa"/>
            <w:tcBorders>
              <w:top w:val="single" w:sz="4" w:space="0" w:color="000000"/>
              <w:left w:val="single" w:sz="4" w:space="0" w:color="000000"/>
              <w:bottom w:val="single" w:sz="4" w:space="0" w:color="000000"/>
              <w:right w:val="single" w:sz="4" w:space="0" w:color="000000"/>
            </w:tcBorders>
            <w:vAlign w:val="bottom"/>
          </w:tcPr>
          <w:p w:rsidR="00C25E94" w:rsidRDefault="00AA21AD">
            <w:pPr>
              <w:spacing w:after="0" w:line="259" w:lineRule="auto"/>
              <w:ind w:left="0" w:right="25" w:firstLine="0"/>
              <w:jc w:val="center"/>
            </w:pPr>
            <w:r>
              <w:t xml:space="preserve">   $740 </w:t>
            </w:r>
          </w:p>
        </w:tc>
        <w:tc>
          <w:tcPr>
            <w:tcW w:w="1686" w:type="dxa"/>
            <w:tcBorders>
              <w:top w:val="single" w:sz="4" w:space="0" w:color="000000"/>
              <w:left w:val="single" w:sz="4" w:space="0" w:color="000000"/>
              <w:bottom w:val="single" w:sz="4" w:space="0" w:color="000000"/>
              <w:right w:val="single" w:sz="4" w:space="0" w:color="000000"/>
            </w:tcBorders>
            <w:vAlign w:val="bottom"/>
          </w:tcPr>
          <w:p w:rsidR="00C25E94" w:rsidRDefault="00AA21AD">
            <w:pPr>
              <w:spacing w:after="0" w:line="259" w:lineRule="auto"/>
              <w:ind w:left="0" w:right="26" w:firstLine="0"/>
              <w:jc w:val="center"/>
            </w:pPr>
            <w:r>
              <w:t xml:space="preserve">$1,250 </w:t>
            </w:r>
          </w:p>
        </w:tc>
        <w:tc>
          <w:tcPr>
            <w:tcW w:w="2056" w:type="dxa"/>
            <w:tcBorders>
              <w:top w:val="single" w:sz="4" w:space="0" w:color="000000"/>
              <w:left w:val="single" w:sz="4" w:space="0" w:color="000000"/>
              <w:bottom w:val="single" w:sz="4" w:space="0" w:color="000000"/>
              <w:right w:val="single" w:sz="4" w:space="0" w:color="000000"/>
            </w:tcBorders>
            <w:vAlign w:val="bottom"/>
          </w:tcPr>
          <w:p w:rsidR="00C25E94" w:rsidRDefault="00AA21AD">
            <w:pPr>
              <w:spacing w:after="0" w:line="259" w:lineRule="auto"/>
              <w:ind w:left="0" w:right="28" w:firstLine="0"/>
              <w:jc w:val="center"/>
            </w:pPr>
            <w:r>
              <w:t xml:space="preserve">($510) </w:t>
            </w:r>
          </w:p>
        </w:tc>
        <w:tc>
          <w:tcPr>
            <w:tcW w:w="2086" w:type="dxa"/>
            <w:tcBorders>
              <w:top w:val="single" w:sz="4" w:space="0" w:color="000000"/>
              <w:left w:val="single" w:sz="4" w:space="0" w:color="000000"/>
              <w:bottom w:val="single" w:sz="4" w:space="0" w:color="000000"/>
              <w:right w:val="single" w:sz="4" w:space="0" w:color="000000"/>
            </w:tcBorders>
            <w:vAlign w:val="bottom"/>
          </w:tcPr>
          <w:p w:rsidR="00C25E94" w:rsidRDefault="00AA21AD">
            <w:pPr>
              <w:spacing w:after="0" w:line="259" w:lineRule="auto"/>
              <w:ind w:left="0" w:right="26" w:firstLine="0"/>
              <w:jc w:val="center"/>
            </w:pPr>
            <w:r>
              <w:t xml:space="preserve">Decreases </w:t>
            </w:r>
          </w:p>
        </w:tc>
      </w:tr>
      <w:tr w:rsidR="00C25E94">
        <w:trPr>
          <w:trHeight w:val="383"/>
        </w:trPr>
        <w:tc>
          <w:tcPr>
            <w:tcW w:w="1576" w:type="dxa"/>
            <w:tcBorders>
              <w:top w:val="single" w:sz="4" w:space="0" w:color="000000"/>
              <w:left w:val="single" w:sz="4" w:space="0" w:color="000000"/>
              <w:bottom w:val="single" w:sz="4" w:space="0" w:color="000000"/>
              <w:right w:val="single" w:sz="4" w:space="0" w:color="000000"/>
            </w:tcBorders>
            <w:vAlign w:val="bottom"/>
          </w:tcPr>
          <w:p w:rsidR="00C25E94" w:rsidRDefault="00AA21AD">
            <w:pPr>
              <w:spacing w:after="0" w:line="259" w:lineRule="auto"/>
              <w:ind w:left="0" w:right="24" w:firstLine="0"/>
              <w:jc w:val="center"/>
            </w:pPr>
            <w:r>
              <w:t xml:space="preserve">2020 </w:t>
            </w:r>
          </w:p>
        </w:tc>
        <w:tc>
          <w:tcPr>
            <w:tcW w:w="1615" w:type="dxa"/>
            <w:tcBorders>
              <w:top w:val="single" w:sz="4" w:space="0" w:color="000000"/>
              <w:left w:val="single" w:sz="4" w:space="0" w:color="000000"/>
              <w:bottom w:val="single" w:sz="4" w:space="0" w:color="000000"/>
              <w:right w:val="single" w:sz="4" w:space="0" w:color="000000"/>
            </w:tcBorders>
            <w:vAlign w:val="bottom"/>
          </w:tcPr>
          <w:p w:rsidR="00C25E94" w:rsidRDefault="00AA21AD">
            <w:pPr>
              <w:spacing w:after="0" w:line="259" w:lineRule="auto"/>
              <w:ind w:left="0" w:right="25" w:firstLine="0"/>
              <w:jc w:val="center"/>
            </w:pPr>
            <w:r>
              <w:t xml:space="preserve">   $371 </w:t>
            </w:r>
          </w:p>
        </w:tc>
        <w:tc>
          <w:tcPr>
            <w:tcW w:w="1686" w:type="dxa"/>
            <w:tcBorders>
              <w:top w:val="single" w:sz="4" w:space="0" w:color="000000"/>
              <w:left w:val="single" w:sz="4" w:space="0" w:color="000000"/>
              <w:bottom w:val="single" w:sz="4" w:space="0" w:color="000000"/>
              <w:right w:val="single" w:sz="4" w:space="0" w:color="000000"/>
            </w:tcBorders>
            <w:vAlign w:val="bottom"/>
          </w:tcPr>
          <w:p w:rsidR="00C25E94" w:rsidRDefault="00AA21AD">
            <w:pPr>
              <w:spacing w:after="0" w:line="259" w:lineRule="auto"/>
              <w:ind w:left="0" w:right="26" w:firstLine="0"/>
              <w:jc w:val="center"/>
            </w:pPr>
            <w:r>
              <w:t xml:space="preserve">   $625 </w:t>
            </w:r>
          </w:p>
        </w:tc>
        <w:tc>
          <w:tcPr>
            <w:tcW w:w="2056" w:type="dxa"/>
            <w:tcBorders>
              <w:top w:val="single" w:sz="4" w:space="0" w:color="000000"/>
              <w:left w:val="single" w:sz="4" w:space="0" w:color="000000"/>
              <w:bottom w:val="single" w:sz="4" w:space="0" w:color="000000"/>
              <w:right w:val="single" w:sz="4" w:space="0" w:color="000000"/>
            </w:tcBorders>
            <w:vAlign w:val="bottom"/>
          </w:tcPr>
          <w:p w:rsidR="00C25E94" w:rsidRDefault="00AA21AD">
            <w:pPr>
              <w:spacing w:after="0" w:line="259" w:lineRule="auto"/>
              <w:ind w:left="0" w:right="28" w:firstLine="0"/>
              <w:jc w:val="center"/>
            </w:pPr>
            <w:r>
              <w:t xml:space="preserve">($254) </w:t>
            </w:r>
          </w:p>
        </w:tc>
        <w:tc>
          <w:tcPr>
            <w:tcW w:w="2086" w:type="dxa"/>
            <w:tcBorders>
              <w:top w:val="single" w:sz="4" w:space="0" w:color="000000"/>
              <w:left w:val="single" w:sz="4" w:space="0" w:color="000000"/>
              <w:bottom w:val="single" w:sz="4" w:space="0" w:color="000000"/>
              <w:right w:val="single" w:sz="4" w:space="0" w:color="000000"/>
            </w:tcBorders>
            <w:vAlign w:val="bottom"/>
          </w:tcPr>
          <w:p w:rsidR="00C25E94" w:rsidRDefault="00AA21AD">
            <w:pPr>
              <w:spacing w:after="0" w:line="259" w:lineRule="auto"/>
              <w:ind w:left="0" w:right="26" w:firstLine="0"/>
              <w:jc w:val="center"/>
            </w:pPr>
            <w:r>
              <w:t xml:space="preserve">Decreases </w:t>
            </w:r>
          </w:p>
        </w:tc>
      </w:tr>
      <w:tr w:rsidR="00C25E94">
        <w:trPr>
          <w:trHeight w:val="384"/>
        </w:trPr>
        <w:tc>
          <w:tcPr>
            <w:tcW w:w="1576" w:type="dxa"/>
            <w:tcBorders>
              <w:top w:val="single" w:sz="4" w:space="0" w:color="000000"/>
              <w:left w:val="single" w:sz="4" w:space="0" w:color="000000"/>
              <w:bottom w:val="single" w:sz="4" w:space="0" w:color="000000"/>
              <w:right w:val="single" w:sz="4" w:space="0" w:color="000000"/>
            </w:tcBorders>
            <w:vAlign w:val="bottom"/>
          </w:tcPr>
          <w:p w:rsidR="00C25E94" w:rsidRDefault="00AA21AD">
            <w:pPr>
              <w:spacing w:after="0" w:line="259" w:lineRule="auto"/>
              <w:ind w:left="0" w:right="26" w:firstLine="0"/>
              <w:jc w:val="center"/>
            </w:pPr>
            <w:r>
              <w:t xml:space="preserve">Totals </w:t>
            </w:r>
          </w:p>
        </w:tc>
        <w:tc>
          <w:tcPr>
            <w:tcW w:w="1615" w:type="dxa"/>
            <w:tcBorders>
              <w:top w:val="single" w:sz="4" w:space="0" w:color="000000"/>
              <w:left w:val="single" w:sz="4" w:space="0" w:color="000000"/>
              <w:bottom w:val="single" w:sz="4" w:space="0" w:color="000000"/>
              <w:right w:val="single" w:sz="4" w:space="0" w:color="000000"/>
            </w:tcBorders>
            <w:vAlign w:val="bottom"/>
          </w:tcPr>
          <w:p w:rsidR="00C25E94" w:rsidRDefault="00AA21AD">
            <w:pPr>
              <w:spacing w:after="0" w:line="259" w:lineRule="auto"/>
              <w:ind w:left="0" w:right="24" w:firstLine="0"/>
              <w:jc w:val="center"/>
            </w:pPr>
            <w:r>
              <w:t xml:space="preserve">$5,000 </w:t>
            </w:r>
          </w:p>
        </w:tc>
        <w:tc>
          <w:tcPr>
            <w:tcW w:w="1686" w:type="dxa"/>
            <w:tcBorders>
              <w:top w:val="single" w:sz="4" w:space="0" w:color="000000"/>
              <w:left w:val="single" w:sz="4" w:space="0" w:color="000000"/>
              <w:bottom w:val="single" w:sz="4" w:space="0" w:color="000000"/>
              <w:right w:val="single" w:sz="4" w:space="0" w:color="000000"/>
            </w:tcBorders>
            <w:vAlign w:val="bottom"/>
          </w:tcPr>
          <w:p w:rsidR="00C25E94" w:rsidRDefault="00AA21AD">
            <w:pPr>
              <w:spacing w:after="0" w:line="259" w:lineRule="auto"/>
              <w:ind w:left="0" w:right="24" w:firstLine="0"/>
              <w:jc w:val="center"/>
            </w:pPr>
            <w:r>
              <w:t xml:space="preserve">$5,000 </w:t>
            </w:r>
          </w:p>
        </w:tc>
        <w:tc>
          <w:tcPr>
            <w:tcW w:w="2056" w:type="dxa"/>
            <w:tcBorders>
              <w:top w:val="single" w:sz="4" w:space="0" w:color="000000"/>
              <w:left w:val="single" w:sz="4" w:space="0" w:color="000000"/>
              <w:bottom w:val="single" w:sz="4" w:space="0" w:color="000000"/>
              <w:right w:val="single" w:sz="4" w:space="0" w:color="000000"/>
            </w:tcBorders>
            <w:vAlign w:val="bottom"/>
          </w:tcPr>
          <w:p w:rsidR="00C25E94" w:rsidRDefault="00AA21AD">
            <w:pPr>
              <w:spacing w:after="0" w:line="259" w:lineRule="auto"/>
              <w:ind w:left="0" w:right="24" w:firstLine="0"/>
              <w:jc w:val="center"/>
            </w:pPr>
            <w:r>
              <w:t xml:space="preserve">    $0 </w:t>
            </w:r>
          </w:p>
        </w:tc>
        <w:tc>
          <w:tcPr>
            <w:tcW w:w="2086" w:type="dxa"/>
            <w:tcBorders>
              <w:top w:val="single" w:sz="4" w:space="0" w:color="000000"/>
              <w:left w:val="single" w:sz="4" w:space="0" w:color="000000"/>
              <w:bottom w:val="single" w:sz="4" w:space="0" w:color="000000"/>
              <w:right w:val="single" w:sz="4" w:space="0" w:color="000000"/>
            </w:tcBorders>
            <w:vAlign w:val="bottom"/>
          </w:tcPr>
          <w:p w:rsidR="00C25E94" w:rsidRDefault="00AA21AD">
            <w:pPr>
              <w:spacing w:after="0" w:line="259" w:lineRule="auto"/>
              <w:ind w:left="33" w:right="0" w:firstLine="0"/>
              <w:jc w:val="center"/>
            </w:pPr>
            <w:r>
              <w:t xml:space="preserve"> </w:t>
            </w:r>
          </w:p>
        </w:tc>
      </w:tr>
    </w:tbl>
    <w:p w:rsidR="00C25E94" w:rsidRDefault="00AA21AD">
      <w:pPr>
        <w:spacing w:after="0" w:line="259" w:lineRule="auto"/>
        <w:ind w:left="0" w:right="0" w:firstLine="0"/>
        <w:jc w:val="left"/>
      </w:pPr>
      <w:r>
        <w:t xml:space="preserve"> </w:t>
      </w:r>
    </w:p>
    <w:p w:rsidR="00C25E94" w:rsidRDefault="00AA21AD">
      <w:pPr>
        <w:spacing w:after="190"/>
        <w:ind w:left="722" w:right="43"/>
      </w:pPr>
      <w:r>
        <w:t>For property placed into service after 1998, an AMT adjustment applies only to MACRS 3-, 5-, 7-, and 10-year property that is depreciated using the 200% declining-balance method. The adjustment is the difference between the depreciation claimed for regular</w:t>
      </w:r>
      <w:r>
        <w:t xml:space="preserve"> tax purposes and the depreciation using the 150% declining-balance method over the property’s shorter regular MACRS recovery period.  </w:t>
      </w:r>
    </w:p>
    <w:p w:rsidR="00C25E94" w:rsidRDefault="00AA21AD">
      <w:pPr>
        <w:numPr>
          <w:ilvl w:val="0"/>
          <w:numId w:val="8"/>
        </w:numPr>
        <w:spacing w:after="171"/>
        <w:ind w:right="43" w:hanging="720"/>
      </w:pPr>
      <w:r>
        <w:t>(LO 8) The ACE adjustment is tax-based and can be either a positive or a negative amount. AMTI is increased by 75% of th</w:t>
      </w:r>
      <w:r>
        <w:t>e excess of ACE over unadjusted AMTI. Or AMTI is reduced by 75% of the excess of unadjusted AMTI over ACE. This negative adjustment is limited to the aggregate of the positive adjustments under ACE for prior years reduced by the previously claimed negative</w:t>
      </w:r>
      <w:r>
        <w:t xml:space="preserve"> adjustments. Thus, the ordering of the timing differences is crucial because any unused negative adjustment is lost forever. Unadjusted AMTI is AMTI without the ACE adjustment or the AMT NOL (the IRS refers to this amount as “pre-adjustment AMTI”). </w:t>
      </w:r>
    </w:p>
    <w:p w:rsidR="00C25E94" w:rsidRDefault="00AA21AD">
      <w:pPr>
        <w:spacing w:after="258"/>
        <w:ind w:left="722" w:right="43"/>
      </w:pPr>
      <w:r>
        <w:t>In 20</w:t>
      </w:r>
      <w:r>
        <w:t>17, because ACE exceeds unadjusted AMTI by $400,000, $300,000 [75% × ($800,000 – $1,200,000) is included as a positive adjustment to AMTI. No adjustment is necessary for 2018. Unadjusted AMTI exceeds ACE by $600,000 in 2019, so there is a potential negativ</w:t>
      </w:r>
      <w:r>
        <w:t>e adjustment to AMTI of $450,000 [75% × ($1,500,000 – $900,000)]. Because the total increases to AMTI for prior years equal $300,000 (and there are no negative adjustments), only $300,000 of the $450,000 potential negative adjustment will reduce AMTI for 2</w:t>
      </w:r>
      <w:r>
        <w:t xml:space="preserve">019. Further, $150,000 of the negative amount is lost forever ($450,000 – $300,000). </w:t>
      </w:r>
    </w:p>
    <w:p w:rsidR="00C25E94" w:rsidRDefault="00AA21AD">
      <w:pPr>
        <w:numPr>
          <w:ilvl w:val="0"/>
          <w:numId w:val="8"/>
        </w:numPr>
        <w:spacing w:after="169"/>
        <w:ind w:right="43" w:hanging="720"/>
      </w:pPr>
      <w:r>
        <w:t xml:space="preserve">(LO 10) The § 531 tax of 20% is imposed on accumulated taxable income (ATI), determined as follows. </w:t>
      </w:r>
    </w:p>
    <w:p w:rsidR="00C25E94" w:rsidRDefault="00AA21AD">
      <w:pPr>
        <w:spacing w:after="168"/>
        <w:ind w:left="1304" w:right="43"/>
      </w:pPr>
      <w:r>
        <w:lastRenderedPageBreak/>
        <w:t xml:space="preserve">ATI = Taxable income +/– Adjustments – Dividends paid – Accumulated earnings credit </w:t>
      </w:r>
    </w:p>
    <w:p w:rsidR="00C25E94" w:rsidRDefault="00AA21AD">
      <w:pPr>
        <w:spacing w:after="170"/>
        <w:ind w:left="722" w:right="43"/>
      </w:pPr>
      <w:r>
        <w:t>The accumulated earnings credit is the greater of (1) the minimum credit of $250,000 ($150,000 for personal service corporations) or (2) the current E &amp; P for the year nee</w:t>
      </w:r>
      <w:r>
        <w:t xml:space="preserve">ded to meet the reasonable needs of the business. In determining the minimum credit or the current E &amp; P required to meet the reasonable needs of the business, the balance of past (i.e., accumulated) E &amp; P must be considered. This balance, once it reaches </w:t>
      </w:r>
      <w:r>
        <w:t xml:space="preserve">$250,000, also eliminates the use of the minimum credit. </w:t>
      </w:r>
    </w:p>
    <w:p w:rsidR="00C25E94" w:rsidRDefault="00AA21AD">
      <w:pPr>
        <w:spacing w:after="171"/>
        <w:ind w:left="722" w:right="43"/>
      </w:pPr>
      <w:r>
        <w:t>In most cases, ATI and vulnerability to the § 531 penalty tax are avoided by resorting to the accumulated earnings credit. Hence, it is important to recognize what constitutes the reasonable needs o</w:t>
      </w:r>
      <w:r>
        <w:t xml:space="preserve">f the business. </w:t>
      </w:r>
    </w:p>
    <w:p w:rsidR="00C25E94" w:rsidRDefault="00AA21AD">
      <w:pPr>
        <w:ind w:left="722" w:right="43"/>
      </w:pPr>
      <w:r>
        <w:t>Vtech Corporation’s accumulated earnings credit is $700,000: the greater of (1) the minimum tax credit of $250,000 or (2) $700,000, the portion of 2018 current E &amp; P needed to meet the reasonable needs of the business [$3,600,000 (reasonab</w:t>
      </w:r>
      <w:r>
        <w:t xml:space="preserve">le needs) – $2,900,0000 (accumulated E &amp; P)]. Since Vtech Corporation’s current E &amp; P is the same as taxable income as adjusted, its ATI is $145,000 [$845,000 (taxable income as adjusted) – $700,000 (accumulated earnings credit)].  </w:t>
      </w:r>
    </w:p>
    <w:p w:rsidR="00C25E94" w:rsidRDefault="00AA21AD">
      <w:pPr>
        <w:spacing w:after="258"/>
        <w:ind w:left="705" w:right="43" w:hanging="720"/>
      </w:pPr>
      <w:r>
        <w:t>36. (LO 10) If a corpor</w:t>
      </w:r>
      <w:r>
        <w:t>ation is a PHC, a penalty tax of 20% is imposed on undistributed personal holding company income (PHCI). Undistributed PHCI is taxable income plus or minus various adjustments and less the dividends paid deduction. The adjustments are similar to those made</w:t>
      </w:r>
      <w:r>
        <w:t xml:space="preserve"> in arriving at accumulated taxable income (ATI) for purposes of the § 531 tax, and largely reflect the corporation’s financial capacity to pay dividends. Thus, the dividends received and NOL deductions are added back, and the corporate income tax, excess </w:t>
      </w:r>
      <w:r>
        <w:t xml:space="preserve">charitable contributions (i.e., in excess of the 10% limitation), and long-term capital gain (net of tax) are subtracted. </w:t>
      </w:r>
    </w:p>
    <w:p w:rsidR="00C25E94" w:rsidRDefault="00AA21AD">
      <w:pPr>
        <w:tabs>
          <w:tab w:val="center" w:pos="2507"/>
          <w:tab w:val="center" w:pos="7842"/>
        </w:tabs>
        <w:ind w:left="0" w:right="0" w:firstLine="0"/>
        <w:jc w:val="left"/>
      </w:pPr>
      <w:r>
        <w:rPr>
          <w:rFonts w:ascii="Calibri" w:eastAsia="Calibri" w:hAnsi="Calibri" w:cs="Calibri"/>
        </w:rPr>
        <w:tab/>
      </w:r>
      <w:r>
        <w:t xml:space="preserve">Taxable income   </w:t>
      </w:r>
      <w:r>
        <w:tab/>
        <w:t xml:space="preserve">$ 345,000   </w:t>
      </w:r>
    </w:p>
    <w:p w:rsidR="00C25E94" w:rsidRDefault="00AA21AD">
      <w:pPr>
        <w:tabs>
          <w:tab w:val="center" w:pos="2903"/>
          <w:tab w:val="center" w:pos="7904"/>
        </w:tabs>
        <w:ind w:left="0" w:right="0" w:firstLine="0"/>
        <w:jc w:val="left"/>
      </w:pPr>
      <w:r>
        <w:rPr>
          <w:rFonts w:ascii="Calibri" w:eastAsia="Calibri" w:hAnsi="Calibri" w:cs="Calibri"/>
        </w:rPr>
        <w:tab/>
      </w:r>
      <w:r>
        <w:t xml:space="preserve">Less: Federal income tax   </w:t>
      </w:r>
      <w:r>
        <w:tab/>
        <w:t xml:space="preserve"> (102,000 )  </w:t>
      </w:r>
    </w:p>
    <w:p w:rsidR="00C25E94" w:rsidRDefault="00AA21AD">
      <w:pPr>
        <w:tabs>
          <w:tab w:val="center" w:pos="3370"/>
          <w:tab w:val="center" w:pos="7922"/>
        </w:tabs>
        <w:ind w:left="0" w:right="0" w:firstLine="0"/>
        <w:jc w:val="left"/>
      </w:pPr>
      <w:r>
        <w:rPr>
          <w:rFonts w:ascii="Calibri" w:eastAsia="Calibri" w:hAnsi="Calibri" w:cs="Calibri"/>
        </w:rPr>
        <w:tab/>
      </w:r>
      <w:r>
        <w:t xml:space="preserve">Add: Dividends-received deduction   </w:t>
      </w:r>
      <w:r>
        <w:tab/>
        <w:t xml:space="preserve">  30,000   </w:t>
      </w:r>
    </w:p>
    <w:p w:rsidR="00C25E94" w:rsidRDefault="00AA21AD">
      <w:pPr>
        <w:ind w:left="722" w:right="1857"/>
      </w:pPr>
      <w:r>
        <w:t>Less: Lo</w:t>
      </w:r>
      <w:r>
        <w:t xml:space="preserve">ng-term capital gains (net of taxes)   </w:t>
      </w:r>
      <w:r>
        <w:tab/>
        <w:t xml:space="preserve">    (15,000 )   Less: Current-year dividends paid   </w:t>
      </w:r>
      <w:r>
        <w:tab/>
      </w:r>
      <w:r>
        <w:rPr>
          <w:u w:val="single" w:color="000000"/>
        </w:rPr>
        <w:t xml:space="preserve">  (200,000</w:t>
      </w:r>
      <w:r>
        <w:t xml:space="preserve"> )   </w:t>
      </w:r>
    </w:p>
    <w:p w:rsidR="00C25E94" w:rsidRDefault="00AA21AD">
      <w:pPr>
        <w:tabs>
          <w:tab w:val="center" w:pos="3951"/>
          <w:tab w:val="center" w:pos="7842"/>
        </w:tabs>
        <w:ind w:left="0" w:right="0" w:firstLine="0"/>
        <w:jc w:val="left"/>
      </w:pPr>
      <w:r>
        <w:rPr>
          <w:rFonts w:ascii="Calibri" w:eastAsia="Calibri" w:hAnsi="Calibri" w:cs="Calibri"/>
        </w:rPr>
        <w:tab/>
      </w:r>
      <w:r>
        <w:t xml:space="preserve">Undistributed personal holding company income   </w:t>
      </w:r>
      <w:r>
        <w:tab/>
        <w:t xml:space="preserve">$   58,000  </w:t>
      </w:r>
    </w:p>
    <w:p w:rsidR="00C25E94" w:rsidRDefault="00AA21AD">
      <w:pPr>
        <w:tabs>
          <w:tab w:val="center" w:pos="3328"/>
          <w:tab w:val="center" w:pos="7853"/>
        </w:tabs>
        <w:ind w:left="0" w:right="0" w:firstLine="0"/>
        <w:jc w:val="left"/>
      </w:pPr>
      <w:r>
        <w:rPr>
          <w:rFonts w:ascii="Calibri" w:eastAsia="Calibri" w:hAnsi="Calibri" w:cs="Calibri"/>
        </w:rPr>
        <w:tab/>
      </w:r>
      <w:r>
        <w:t xml:space="preserve">Personal holding company tax rate   </w:t>
      </w:r>
      <w:r>
        <w:tab/>
      </w:r>
      <w:r>
        <w:rPr>
          <w:u w:val="single" w:color="000000"/>
        </w:rPr>
        <w:t>×      20%</w:t>
      </w:r>
      <w:r>
        <w:t xml:space="preserve">   </w:t>
      </w:r>
    </w:p>
    <w:p w:rsidR="00C25E94" w:rsidRDefault="00AA21AD">
      <w:pPr>
        <w:tabs>
          <w:tab w:val="center" w:pos="3136"/>
          <w:tab w:val="center" w:pos="7842"/>
        </w:tabs>
        <w:ind w:left="0" w:right="0" w:firstLine="0"/>
        <w:jc w:val="left"/>
      </w:pPr>
      <w:r>
        <w:rPr>
          <w:rFonts w:ascii="Calibri" w:eastAsia="Calibri" w:hAnsi="Calibri" w:cs="Calibri"/>
        </w:rPr>
        <w:tab/>
      </w:r>
      <w:r>
        <w:t xml:space="preserve">Personal holding company tax   </w:t>
      </w:r>
      <w:r>
        <w:tab/>
      </w:r>
      <w:r>
        <w:rPr>
          <w:u w:val="double" w:color="000000"/>
        </w:rPr>
        <w:t>$   11,600</w:t>
      </w:r>
      <w:r>
        <w:t xml:space="preserve"> </w:t>
      </w:r>
    </w:p>
    <w:p w:rsidR="00C25E94" w:rsidRDefault="00AA21AD">
      <w:pPr>
        <w:spacing w:after="186" w:line="259" w:lineRule="auto"/>
        <w:ind w:left="0" w:right="0" w:firstLine="0"/>
        <w:jc w:val="left"/>
      </w:pPr>
      <w:r>
        <w:rPr>
          <w:b/>
        </w:rPr>
        <w:t xml:space="preserve"> </w:t>
      </w:r>
    </w:p>
    <w:p w:rsidR="00C25E94" w:rsidRDefault="00AA21AD">
      <w:pPr>
        <w:pStyle w:val="Heading1"/>
        <w:spacing w:after="212"/>
        <w:ind w:left="-5"/>
      </w:pPr>
      <w:r>
        <w:t xml:space="preserve">PROBLEMS </w:t>
      </w:r>
    </w:p>
    <w:p w:rsidR="00C25E94" w:rsidRDefault="00AA21AD">
      <w:pPr>
        <w:numPr>
          <w:ilvl w:val="0"/>
          <w:numId w:val="9"/>
        </w:numPr>
        <w:spacing w:after="246"/>
        <w:ind w:right="43" w:hanging="720"/>
      </w:pPr>
      <w:r>
        <w:t xml:space="preserve">(LO 1) Assuming the marginal corporate rate is 35% in 2017 and in 2018, in both years the maximum DPAD savings is $346,500 ($11,000,000 × 9% × 35%).  </w:t>
      </w:r>
    </w:p>
    <w:p w:rsidR="00C25E94" w:rsidRDefault="00AA21AD">
      <w:pPr>
        <w:numPr>
          <w:ilvl w:val="0"/>
          <w:numId w:val="9"/>
        </w:numPr>
        <w:ind w:right="43" w:hanging="720"/>
      </w:pPr>
      <w:r>
        <w:t xml:space="preserve">(LO 2)  </w:t>
      </w:r>
    </w:p>
    <w:p w:rsidR="00C25E94" w:rsidRDefault="00AA21AD">
      <w:pPr>
        <w:numPr>
          <w:ilvl w:val="1"/>
          <w:numId w:val="9"/>
        </w:numPr>
        <w:spacing w:after="160"/>
        <w:ind w:right="43" w:hanging="721"/>
      </w:pPr>
      <w:r>
        <w:rPr>
          <w:u w:val="double" w:color="000000"/>
        </w:rPr>
        <w:t>$54,000</w:t>
      </w:r>
      <w:r>
        <w:t xml:space="preserve">. The taxable income limitation of $54,000 (9% × $600,000) is less than the QPAI computation of $72,000 (9% × $800,000) and is under the W–2 limitation of $60,000 (50% × $120,000).  </w:t>
      </w:r>
    </w:p>
    <w:p w:rsidR="00C25E94" w:rsidRDefault="00AA21AD">
      <w:pPr>
        <w:numPr>
          <w:ilvl w:val="1"/>
          <w:numId w:val="9"/>
        </w:numPr>
        <w:spacing w:after="160"/>
        <w:ind w:right="43" w:hanging="721"/>
      </w:pPr>
      <w:r>
        <w:rPr>
          <w:u w:val="double" w:color="000000"/>
        </w:rPr>
        <w:t>$10,000</w:t>
      </w:r>
      <w:r>
        <w:t>. The W–2 limitation of $10,000 (50% × $20,000) is less than the Q</w:t>
      </w:r>
      <w:r>
        <w:t xml:space="preserve">PAI computation of $36,000 (9% × $400,000).   </w:t>
      </w:r>
    </w:p>
    <w:p w:rsidR="00C25E94" w:rsidRDefault="00AA21AD">
      <w:pPr>
        <w:numPr>
          <w:ilvl w:val="1"/>
          <w:numId w:val="9"/>
        </w:numPr>
        <w:spacing w:after="160"/>
        <w:ind w:right="43" w:hanging="721"/>
      </w:pPr>
      <w:r>
        <w:rPr>
          <w:u w:val="double" w:color="000000"/>
        </w:rPr>
        <w:t>$72,000</w:t>
      </w:r>
      <w:r>
        <w:t xml:space="preserve">. After the NOL carryover of $100,000, taxable income becomes $800,000 ($900,000 – $100,000). Now, the taxable income limitation of $72,000 (9% × $800,000) is less than the </w:t>
      </w:r>
      <w:r>
        <w:lastRenderedPageBreak/>
        <w:t>QPAI computation of $81,000 (</w:t>
      </w:r>
      <w:r>
        <w:t xml:space="preserve">9% × $900,000) and is under the W–2 limitation of $150,000 (50% × $300,000).  </w:t>
      </w:r>
    </w:p>
    <w:p w:rsidR="00C25E94" w:rsidRDefault="00AA21AD">
      <w:pPr>
        <w:numPr>
          <w:ilvl w:val="1"/>
          <w:numId w:val="9"/>
        </w:numPr>
        <w:spacing w:after="160"/>
        <w:ind w:right="43" w:hanging="721"/>
      </w:pPr>
      <w:r>
        <w:rPr>
          <w:u w:val="double" w:color="000000"/>
        </w:rPr>
        <w:t>$63,000</w:t>
      </w:r>
      <w:r>
        <w:t>. The QPAI computation of $63,000 (9% × $700,000) is less than the taxable income limitation of $81,000 (9% × $900,000) and is under the W–2 limitation of $100,000 (50% ×</w:t>
      </w:r>
      <w:r>
        <w:t xml:space="preserve"> $200,000).  </w:t>
      </w:r>
    </w:p>
    <w:p w:rsidR="00C25E94" w:rsidRDefault="00AA21AD">
      <w:pPr>
        <w:numPr>
          <w:ilvl w:val="1"/>
          <w:numId w:val="9"/>
        </w:numPr>
        <w:spacing w:after="247"/>
        <w:ind w:right="43" w:hanging="721"/>
      </w:pPr>
      <w:r>
        <w:rPr>
          <w:u w:val="double" w:color="000000"/>
        </w:rPr>
        <w:t>$30,000</w:t>
      </w:r>
      <w:r>
        <w:t>. The QPAI computation of $81,000 (9% × $900,000) is the same as the taxable income limitation of $81,000 (9% × $900,000) but is not under the W–2 limitation of $30,000 (50% × $60,000). For purposes of the W–2 limitation, the wages considered do have to re</w:t>
      </w:r>
      <w:r>
        <w:t xml:space="preserve">late to the manufacturing activities in 2017. </w:t>
      </w:r>
    </w:p>
    <w:p w:rsidR="00C25E94" w:rsidRDefault="00AA21AD">
      <w:pPr>
        <w:numPr>
          <w:ilvl w:val="0"/>
          <w:numId w:val="9"/>
        </w:numPr>
        <w:ind w:right="43" w:hanging="720"/>
      </w:pPr>
      <w:r>
        <w:t xml:space="preserve">(LO 3) </w:t>
      </w:r>
    </w:p>
    <w:p w:rsidR="00C25E94" w:rsidRDefault="00AA21AD">
      <w:pPr>
        <w:numPr>
          <w:ilvl w:val="1"/>
          <w:numId w:val="9"/>
        </w:numPr>
        <w:spacing w:after="160"/>
        <w:ind w:right="43" w:hanging="721"/>
      </w:pPr>
      <w:r>
        <w:t xml:space="preserve">Tern’s DPGR is $8,200,000. The $1,000,000 derived from the Nicaragua facility cannot be included under the </w:t>
      </w:r>
      <w:r>
        <w:rPr>
          <w:i/>
        </w:rPr>
        <w:t>de minimis</w:t>
      </w:r>
      <w:r>
        <w:t xml:space="preserve"> rule, as the amount exceeds 5%—$1,000,000/$9,200,000 = 10.87%.  </w:t>
      </w:r>
    </w:p>
    <w:p w:rsidR="00C25E94" w:rsidRDefault="00AA21AD">
      <w:pPr>
        <w:numPr>
          <w:ilvl w:val="1"/>
          <w:numId w:val="9"/>
        </w:numPr>
        <w:spacing w:after="220"/>
        <w:ind w:right="43" w:hanging="721"/>
      </w:pPr>
      <w:r>
        <w:t>Tern’s DPGR now be</w:t>
      </w:r>
      <w:r>
        <w:t xml:space="preserve">comes $8,600,000. The $400,000 from Nicaragua is included under the </w:t>
      </w:r>
      <w:r>
        <w:rPr>
          <w:i/>
        </w:rPr>
        <w:t>de minimis</w:t>
      </w:r>
      <w:r>
        <w:t xml:space="preserve"> rule—$400,000/$8,600,000 = 4.65%, which is less than 5%. </w:t>
      </w:r>
    </w:p>
    <w:p w:rsidR="00C25E94" w:rsidRDefault="00AA21AD">
      <w:pPr>
        <w:spacing w:after="0" w:line="259" w:lineRule="auto"/>
        <w:ind w:left="0" w:right="0" w:firstLine="0"/>
        <w:jc w:val="left"/>
      </w:pPr>
      <w:r>
        <w:t xml:space="preserve"> </w:t>
      </w:r>
    </w:p>
    <w:p w:rsidR="00C25E94" w:rsidRDefault="00AA21AD">
      <w:pPr>
        <w:numPr>
          <w:ilvl w:val="0"/>
          <w:numId w:val="9"/>
        </w:numPr>
        <w:ind w:right="43" w:hanging="720"/>
      </w:pPr>
      <w:r>
        <w:t xml:space="preserve">(LO 3) </w:t>
      </w:r>
    </w:p>
    <w:p w:rsidR="00C25E94" w:rsidRDefault="00AA21AD">
      <w:pPr>
        <w:numPr>
          <w:ilvl w:val="1"/>
          <w:numId w:val="9"/>
        </w:numPr>
        <w:ind w:right="43" w:hanging="721"/>
      </w:pPr>
      <w:r>
        <w:t>Although the basic warranty is an embedded service, it is not separately priced or bargained for; the warrant</w:t>
      </w:r>
      <w:r>
        <w:t xml:space="preserve">y is included as part of the cost of the product. Therefore, the full $3,000 is </w:t>
      </w:r>
    </w:p>
    <w:p w:rsidR="00C25E94" w:rsidRDefault="00AA21AD">
      <w:pPr>
        <w:spacing w:after="204"/>
        <w:ind w:left="1442" w:right="43"/>
      </w:pPr>
      <w:r>
        <w:t xml:space="preserve">DPGR. </w:t>
      </w:r>
    </w:p>
    <w:p w:rsidR="00C25E94" w:rsidRDefault="00AA21AD">
      <w:pPr>
        <w:numPr>
          <w:ilvl w:val="1"/>
          <w:numId w:val="9"/>
        </w:numPr>
        <w:spacing w:after="205"/>
        <w:ind w:right="43" w:hanging="721"/>
      </w:pPr>
      <w:r>
        <w:t xml:space="preserve">Because the warranty is separately priced, the </w:t>
      </w:r>
      <w:r>
        <w:rPr>
          <w:i/>
        </w:rPr>
        <w:t>de minimis</w:t>
      </w:r>
      <w:r>
        <w:t xml:space="preserve"> rule is not available. DPGR still is $3,000. </w:t>
      </w:r>
    </w:p>
    <w:p w:rsidR="00C25E94" w:rsidRDefault="00AA21AD">
      <w:pPr>
        <w:numPr>
          <w:ilvl w:val="1"/>
          <w:numId w:val="9"/>
        </w:numPr>
        <w:spacing w:after="183"/>
        <w:ind w:right="43" w:hanging="721"/>
      </w:pPr>
      <w:r>
        <w:t>Because the warranty is separately priced, it does not constitut</w:t>
      </w:r>
      <w:r>
        <w:t xml:space="preserve">e DPGR. DPGR still is $3,000. </w:t>
      </w:r>
    </w:p>
    <w:p w:rsidR="00C25E94" w:rsidRDefault="00AA21AD">
      <w:pPr>
        <w:numPr>
          <w:ilvl w:val="1"/>
          <w:numId w:val="9"/>
        </w:numPr>
        <w:spacing w:after="208"/>
        <w:ind w:right="43" w:hanging="721"/>
      </w:pPr>
      <w:r>
        <w:t>If the price of the product were raised to $3,300 and every item sold was under a  10-year warranty, the full sales price becomes DPGR. Hope’s extended warranties should not be separately priced or bargained for, so as to max</w:t>
      </w:r>
      <w:r>
        <w:t xml:space="preserve">imize its DPGR. </w:t>
      </w:r>
    </w:p>
    <w:p w:rsidR="00C25E94" w:rsidRDefault="00AA21AD">
      <w:pPr>
        <w:numPr>
          <w:ilvl w:val="0"/>
          <w:numId w:val="9"/>
        </w:numPr>
        <w:ind w:right="43" w:hanging="720"/>
      </w:pPr>
      <w:r>
        <w:t xml:space="preserve">(LO 2, 3, 4) </w:t>
      </w:r>
    </w:p>
    <w:p w:rsidR="00C25E94" w:rsidRDefault="00AA21AD">
      <w:pPr>
        <w:numPr>
          <w:ilvl w:val="1"/>
          <w:numId w:val="9"/>
        </w:numPr>
        <w:spacing w:after="221"/>
        <w:ind w:right="43" w:hanging="721"/>
      </w:pPr>
      <w:r>
        <w:t xml:space="preserve">$2,600,000. DPGR cannot include gross receipts from the resale of imported goods. </w:t>
      </w:r>
    </w:p>
    <w:p w:rsidR="00C25E94" w:rsidRDefault="00AA21AD">
      <w:pPr>
        <w:numPr>
          <w:ilvl w:val="1"/>
          <w:numId w:val="9"/>
        </w:numPr>
        <w:spacing w:after="247"/>
        <w:ind w:right="43" w:hanging="721"/>
      </w:pPr>
      <w:r>
        <w:t xml:space="preserve">To determine selling, marketing, and administrative expenses allocable to DPGR, use the fraction based on DPGR/total gross receipts. Therefore, ($2,600,000/$4,200,000) × $1,000,000 = $619,048. QPAI is: </w:t>
      </w:r>
    </w:p>
    <w:p w:rsidR="00C25E94" w:rsidRDefault="00AA21AD">
      <w:pPr>
        <w:tabs>
          <w:tab w:val="center" w:pos="1734"/>
          <w:tab w:val="center" w:pos="2853"/>
          <w:tab w:val="center" w:pos="7787"/>
        </w:tabs>
        <w:ind w:left="0" w:right="0" w:firstLine="0"/>
        <w:jc w:val="left"/>
      </w:pPr>
      <w:r>
        <w:rPr>
          <w:rFonts w:ascii="Calibri" w:eastAsia="Calibri" w:hAnsi="Calibri" w:cs="Calibri"/>
        </w:rPr>
        <w:tab/>
      </w:r>
      <w:r>
        <w:t xml:space="preserve">DPGR  </w:t>
      </w:r>
      <w:r>
        <w:tab/>
        <w:t xml:space="preserve"> </w:t>
      </w:r>
      <w:r>
        <w:tab/>
        <w:t xml:space="preserve">$2,600,000 </w:t>
      </w:r>
    </w:p>
    <w:p w:rsidR="00C25E94" w:rsidRDefault="00AA21AD">
      <w:pPr>
        <w:tabs>
          <w:tab w:val="center" w:pos="1654"/>
          <w:tab w:val="center" w:pos="2851"/>
          <w:tab w:val="center" w:pos="7824"/>
        </w:tabs>
        <w:ind w:left="0" w:right="0" w:firstLine="0"/>
        <w:jc w:val="left"/>
      </w:pPr>
      <w:r>
        <w:rPr>
          <w:rFonts w:ascii="Calibri" w:eastAsia="Calibri" w:hAnsi="Calibri" w:cs="Calibri"/>
        </w:rPr>
        <w:tab/>
      </w:r>
      <w:r>
        <w:t xml:space="preserve">CGS  </w:t>
      </w:r>
      <w:r>
        <w:tab/>
        <w:t xml:space="preserve"> </w:t>
      </w:r>
      <w:r>
        <w:tab/>
      </w:r>
      <w:r>
        <w:rPr>
          <w:sz w:val="16"/>
        </w:rPr>
        <w:t xml:space="preserve"> </w:t>
      </w:r>
      <w:r>
        <w:t xml:space="preserve">(1,100,000) </w:t>
      </w:r>
    </w:p>
    <w:p w:rsidR="00C25E94" w:rsidRDefault="00AA21AD">
      <w:pPr>
        <w:spacing w:after="207"/>
        <w:ind w:left="1442" w:right="901"/>
      </w:pPr>
      <w:r>
        <w:t>Other ex</w:t>
      </w:r>
      <w:r>
        <w:t xml:space="preserve">penses   </w:t>
      </w:r>
      <w:r>
        <w:tab/>
      </w:r>
      <w:r>
        <w:rPr>
          <w:u w:val="single" w:color="000000"/>
        </w:rPr>
        <w:t xml:space="preserve"> </w:t>
      </w:r>
      <w:r>
        <w:rPr>
          <w:sz w:val="18"/>
          <w:u w:val="single" w:color="000000"/>
        </w:rPr>
        <w:t xml:space="preserve"> </w:t>
      </w:r>
      <w:r>
        <w:rPr>
          <w:u w:val="single" w:color="000000"/>
        </w:rPr>
        <w:t xml:space="preserve">  (619,048</w:t>
      </w:r>
      <w:r>
        <w:t xml:space="preserve">) QPAI   </w:t>
      </w:r>
      <w:r>
        <w:tab/>
      </w:r>
      <w:r>
        <w:rPr>
          <w:u w:val="double" w:color="000000"/>
        </w:rPr>
        <w:t>$   880,952</w:t>
      </w:r>
      <w:r>
        <w:t xml:space="preserve"> </w:t>
      </w:r>
    </w:p>
    <w:p w:rsidR="00C25E94" w:rsidRDefault="00AA21AD">
      <w:pPr>
        <w:numPr>
          <w:ilvl w:val="1"/>
          <w:numId w:val="9"/>
        </w:numPr>
        <w:spacing w:after="209"/>
        <w:ind w:right="43" w:hanging="721"/>
      </w:pPr>
      <w:r>
        <w:t xml:space="preserve">DPAD is $79,286 (9% × $880,952). </w:t>
      </w:r>
    </w:p>
    <w:p w:rsidR="00C25E94" w:rsidRDefault="00AA21AD">
      <w:pPr>
        <w:numPr>
          <w:ilvl w:val="0"/>
          <w:numId w:val="9"/>
        </w:numPr>
        <w:ind w:right="43" w:hanging="720"/>
      </w:pPr>
      <w:r>
        <w:t xml:space="preserve">(LO 2, 3, 4) </w:t>
      </w:r>
    </w:p>
    <w:p w:rsidR="00C25E94" w:rsidRDefault="00AA21AD">
      <w:pPr>
        <w:numPr>
          <w:ilvl w:val="1"/>
          <w:numId w:val="9"/>
        </w:numPr>
        <w:spacing w:after="209"/>
        <w:ind w:right="43" w:hanging="721"/>
      </w:pPr>
      <w:r>
        <w:t xml:space="preserve">The relative gross receipts method must be used to allocate </w:t>
      </w:r>
      <w:r>
        <w:rPr>
          <w:i/>
        </w:rPr>
        <w:t>both</w:t>
      </w:r>
      <w:r>
        <w:t xml:space="preserve"> CGS and other expenses between DPGR and non-DPGR (receipts from the sale of imported goods). </w:t>
      </w:r>
    </w:p>
    <w:p w:rsidR="00C25E94" w:rsidRDefault="00AA21AD">
      <w:pPr>
        <w:tabs>
          <w:tab w:val="center" w:pos="1734"/>
          <w:tab w:val="center" w:pos="7787"/>
        </w:tabs>
        <w:ind w:left="0" w:right="0" w:firstLine="0"/>
        <w:jc w:val="left"/>
      </w:pPr>
      <w:r>
        <w:rPr>
          <w:rFonts w:ascii="Calibri" w:eastAsia="Calibri" w:hAnsi="Calibri" w:cs="Calibri"/>
        </w:rPr>
        <w:lastRenderedPageBreak/>
        <w:tab/>
      </w:r>
      <w:r>
        <w:t>DPG</w:t>
      </w:r>
      <w:r>
        <w:t xml:space="preserve">R  </w:t>
      </w:r>
      <w:r>
        <w:tab/>
        <w:t xml:space="preserve">$2,600,000 </w:t>
      </w:r>
    </w:p>
    <w:p w:rsidR="00C25E94" w:rsidRDefault="00AA21AD">
      <w:pPr>
        <w:ind w:left="1442" w:right="43"/>
      </w:pPr>
      <w:r>
        <w:t xml:space="preserve">Less allocated CGS: </w:t>
      </w:r>
    </w:p>
    <w:p w:rsidR="00C25E94" w:rsidRDefault="00AA21AD">
      <w:pPr>
        <w:tabs>
          <w:tab w:val="center" w:pos="1440"/>
          <w:tab w:val="center" w:pos="3506"/>
          <w:tab w:val="center" w:pos="7858"/>
        </w:tabs>
        <w:ind w:left="0" w:right="0" w:firstLine="0"/>
        <w:jc w:val="left"/>
      </w:pPr>
      <w:r>
        <w:rPr>
          <w:rFonts w:ascii="Calibri" w:eastAsia="Calibri" w:hAnsi="Calibri" w:cs="Calibri"/>
        </w:rPr>
        <w:tab/>
      </w:r>
      <w:r>
        <w:t xml:space="preserve"> </w:t>
      </w:r>
      <w:r>
        <w:tab/>
        <w:t xml:space="preserve">($2,600,000/$4,200,000) × $1,950,000  </w:t>
      </w:r>
      <w:r>
        <w:tab/>
        <w:t xml:space="preserve">(1,207,143) </w:t>
      </w:r>
    </w:p>
    <w:p w:rsidR="00C25E94" w:rsidRDefault="00AA21AD">
      <w:pPr>
        <w:ind w:left="1442" w:right="43"/>
      </w:pPr>
      <w:r>
        <w:t xml:space="preserve">Less allocated other expenses: </w:t>
      </w:r>
    </w:p>
    <w:p w:rsidR="00C25E94" w:rsidRDefault="00AA21AD">
      <w:pPr>
        <w:tabs>
          <w:tab w:val="center" w:pos="1440"/>
          <w:tab w:val="center" w:pos="3506"/>
          <w:tab w:val="center" w:pos="7830"/>
        </w:tabs>
        <w:ind w:left="0" w:right="0" w:firstLine="0"/>
        <w:jc w:val="left"/>
      </w:pPr>
      <w:r>
        <w:rPr>
          <w:rFonts w:ascii="Calibri" w:eastAsia="Calibri" w:hAnsi="Calibri" w:cs="Calibri"/>
        </w:rPr>
        <w:tab/>
      </w:r>
      <w:r>
        <w:t xml:space="preserve"> </w:t>
      </w:r>
      <w:r>
        <w:tab/>
        <w:t xml:space="preserve">($2,600,000/$4,200,000) × $1,000,000  </w:t>
      </w:r>
      <w:r>
        <w:tab/>
      </w:r>
      <w:r>
        <w:rPr>
          <w:u w:val="single" w:color="000000"/>
        </w:rPr>
        <w:t xml:space="preserve">    (619,048</w:t>
      </w:r>
      <w:r>
        <w:t xml:space="preserve">) </w:t>
      </w:r>
    </w:p>
    <w:p w:rsidR="00C25E94" w:rsidRDefault="00AA21AD">
      <w:pPr>
        <w:tabs>
          <w:tab w:val="center" w:pos="1697"/>
          <w:tab w:val="center" w:pos="7787"/>
        </w:tabs>
        <w:spacing w:after="247"/>
        <w:ind w:left="0" w:right="0" w:firstLine="0"/>
        <w:jc w:val="left"/>
      </w:pPr>
      <w:r>
        <w:rPr>
          <w:rFonts w:ascii="Calibri" w:eastAsia="Calibri" w:hAnsi="Calibri" w:cs="Calibri"/>
        </w:rPr>
        <w:tab/>
      </w:r>
      <w:r>
        <w:t xml:space="preserve">QPAI  </w:t>
      </w:r>
      <w:r>
        <w:tab/>
      </w:r>
      <w:r>
        <w:rPr>
          <w:u w:val="double" w:color="000000"/>
        </w:rPr>
        <w:t>$   773,809</w:t>
      </w:r>
      <w:r>
        <w:t xml:space="preserve"> </w:t>
      </w:r>
    </w:p>
    <w:p w:rsidR="00C25E94" w:rsidRDefault="00AA21AD">
      <w:pPr>
        <w:numPr>
          <w:ilvl w:val="1"/>
          <w:numId w:val="9"/>
        </w:numPr>
        <w:spacing w:after="208"/>
        <w:ind w:right="43" w:hanging="721"/>
      </w:pPr>
      <w:r>
        <w:t xml:space="preserve">DPAD is $69,643 (9% × $773,809). </w:t>
      </w:r>
    </w:p>
    <w:p w:rsidR="00C25E94" w:rsidRDefault="00AA21AD">
      <w:pPr>
        <w:numPr>
          <w:ilvl w:val="0"/>
          <w:numId w:val="9"/>
        </w:numPr>
        <w:ind w:right="43" w:hanging="720"/>
      </w:pPr>
      <w:r>
        <w:t xml:space="preserve">(LO 5) </w:t>
      </w:r>
    </w:p>
    <w:p w:rsidR="00C25E94" w:rsidRDefault="00AA21AD">
      <w:pPr>
        <w:numPr>
          <w:ilvl w:val="1"/>
          <w:numId w:val="9"/>
        </w:numPr>
        <w:spacing w:after="182"/>
        <w:ind w:right="43" w:hanging="721"/>
      </w:pPr>
      <w:r>
        <w:t xml:space="preserve">$2,000,000. The snack shop receipts do not meet the </w:t>
      </w:r>
      <w:r>
        <w:rPr>
          <w:i/>
        </w:rPr>
        <w:t>de minimis</w:t>
      </w:r>
      <w:r>
        <w:t xml:space="preserve"> rule ($110,000 ÷ $2,110,000 = 5.2%, which is not less than 5%). </w:t>
      </w:r>
    </w:p>
    <w:p w:rsidR="00C25E94" w:rsidRDefault="00AA21AD">
      <w:pPr>
        <w:numPr>
          <w:ilvl w:val="1"/>
          <w:numId w:val="9"/>
        </w:numPr>
        <w:spacing w:after="209"/>
        <w:ind w:right="43" w:hanging="721"/>
      </w:pPr>
      <w:r>
        <w:t xml:space="preserve">$2,630,000. The snack shop receipts do meet the </w:t>
      </w:r>
      <w:r>
        <w:rPr>
          <w:i/>
        </w:rPr>
        <w:t>de minimis</w:t>
      </w:r>
      <w:r>
        <w:t xml:space="preserve"> rule ($130,000 ÷ $2,630,000 = 4.94%, which is less than 5%). </w:t>
      </w:r>
    </w:p>
    <w:p w:rsidR="00C25E94" w:rsidRDefault="00AA21AD">
      <w:pPr>
        <w:numPr>
          <w:ilvl w:val="0"/>
          <w:numId w:val="9"/>
        </w:numPr>
        <w:ind w:right="43" w:hanging="720"/>
      </w:pPr>
      <w:r>
        <w:t xml:space="preserve">(LO 2, </w:t>
      </w:r>
      <w:r>
        <w:t xml:space="preserve">3, 4, 5) </w:t>
      </w:r>
    </w:p>
    <w:p w:rsidR="00C25E94" w:rsidRDefault="00AA21AD">
      <w:pPr>
        <w:numPr>
          <w:ilvl w:val="1"/>
          <w:numId w:val="9"/>
        </w:numPr>
        <w:ind w:right="43" w:hanging="721"/>
      </w:pPr>
      <w:r>
        <w:t xml:space="preserve">Purple has DPGR of $1,200, while Scarlet has none. Scarlet is not involved in any MPGE </w:t>
      </w:r>
    </w:p>
    <w:p w:rsidR="00C25E94" w:rsidRDefault="00AA21AD">
      <w:pPr>
        <w:spacing w:after="202"/>
        <w:ind w:left="1442" w:right="43"/>
      </w:pPr>
      <w:r>
        <w:t xml:space="preserve">activities. </w:t>
      </w:r>
    </w:p>
    <w:p w:rsidR="00C25E94" w:rsidRDefault="00AA21AD">
      <w:pPr>
        <w:numPr>
          <w:ilvl w:val="1"/>
          <w:numId w:val="9"/>
        </w:numPr>
        <w:spacing w:after="169"/>
        <w:ind w:right="43" w:hanging="721"/>
      </w:pPr>
      <w:r>
        <w:t xml:space="preserve">Purple’s QPAI is $400 ($1,200 – $800). Scarlet has no QPAI. </w:t>
      </w:r>
    </w:p>
    <w:p w:rsidR="00C25E94" w:rsidRDefault="00AA21AD">
      <w:pPr>
        <w:numPr>
          <w:ilvl w:val="1"/>
          <w:numId w:val="9"/>
        </w:numPr>
        <w:ind w:right="43" w:hanging="721"/>
      </w:pPr>
      <w:r>
        <w:t xml:space="preserve">Purple has DPAD of $36 (9% × $400). Scarlet has no DPAD. </w:t>
      </w:r>
    </w:p>
    <w:p w:rsidR="00C25E94" w:rsidRDefault="00AA21AD">
      <w:pPr>
        <w:numPr>
          <w:ilvl w:val="0"/>
          <w:numId w:val="9"/>
        </w:numPr>
        <w:ind w:right="43" w:hanging="720"/>
      </w:pPr>
      <w:r>
        <w:t xml:space="preserve">(LO 6) Because Campbell was a new corporation in 2013, it was automatically exempt from the corporate AMT under the small corporation exemption regardless of its amount of gross receipts. Campbell also qualifies for the small corporation exemption in 2014 </w:t>
      </w:r>
      <w:r>
        <w:t>as its 2013 gross receipts are $5 million or less (the $5 million gross receipts limit applies only for the second year of a new corporation). In subsequent years, Campbell calculates its average gross receipts as follows to determine whether the small bus</w:t>
      </w:r>
      <w:r>
        <w:t xml:space="preserve">iness exemption is available. </w:t>
      </w:r>
    </w:p>
    <w:tbl>
      <w:tblPr>
        <w:tblStyle w:val="TableGrid"/>
        <w:tblW w:w="9288" w:type="dxa"/>
        <w:tblInd w:w="612" w:type="dxa"/>
        <w:tblCellMar>
          <w:top w:w="0" w:type="dxa"/>
          <w:left w:w="108" w:type="dxa"/>
          <w:bottom w:w="8" w:type="dxa"/>
          <w:right w:w="115" w:type="dxa"/>
        </w:tblCellMar>
        <w:tblLook w:val="04A0" w:firstRow="1" w:lastRow="0" w:firstColumn="1" w:lastColumn="0" w:noHBand="0" w:noVBand="1"/>
      </w:tblPr>
      <w:tblGrid>
        <w:gridCol w:w="828"/>
        <w:gridCol w:w="2340"/>
        <w:gridCol w:w="1440"/>
        <w:gridCol w:w="4680"/>
      </w:tblGrid>
      <w:tr w:rsidR="00C25E94">
        <w:trPr>
          <w:trHeight w:val="854"/>
        </w:trPr>
        <w:tc>
          <w:tcPr>
            <w:tcW w:w="828" w:type="dxa"/>
            <w:tcBorders>
              <w:top w:val="single" w:sz="4" w:space="0" w:color="000000"/>
              <w:left w:val="single" w:sz="4" w:space="0" w:color="000000"/>
              <w:bottom w:val="single" w:sz="6" w:space="0" w:color="000000"/>
              <w:right w:val="single" w:sz="6" w:space="0" w:color="000000"/>
            </w:tcBorders>
            <w:vAlign w:val="bottom"/>
          </w:tcPr>
          <w:p w:rsidR="00C25E94" w:rsidRDefault="00AA21AD">
            <w:pPr>
              <w:spacing w:after="0" w:line="259" w:lineRule="auto"/>
              <w:ind w:left="0" w:right="0" w:firstLine="0"/>
              <w:jc w:val="center"/>
            </w:pPr>
            <w:r>
              <w:rPr>
                <w:b/>
              </w:rPr>
              <w:t>Tax Year</w:t>
            </w:r>
            <w:r>
              <w:t xml:space="preserve"> </w:t>
            </w:r>
          </w:p>
        </w:tc>
        <w:tc>
          <w:tcPr>
            <w:tcW w:w="2340" w:type="dxa"/>
            <w:tcBorders>
              <w:top w:val="single" w:sz="4" w:space="0" w:color="000000"/>
              <w:left w:val="single" w:sz="6" w:space="0" w:color="000000"/>
              <w:bottom w:val="single" w:sz="6" w:space="0" w:color="000000"/>
              <w:right w:val="single" w:sz="6" w:space="0" w:color="000000"/>
            </w:tcBorders>
            <w:vAlign w:val="bottom"/>
          </w:tcPr>
          <w:p w:rsidR="00C25E94" w:rsidRDefault="00AA21AD">
            <w:pPr>
              <w:spacing w:after="0" w:line="259" w:lineRule="auto"/>
              <w:ind w:left="0" w:right="0" w:firstLine="0"/>
              <w:jc w:val="center"/>
            </w:pPr>
            <w:r>
              <w:rPr>
                <w:b/>
              </w:rPr>
              <w:t>Tax Years Used for Computation</w:t>
            </w:r>
          </w:p>
        </w:tc>
        <w:tc>
          <w:tcPr>
            <w:tcW w:w="1440" w:type="dxa"/>
            <w:tcBorders>
              <w:top w:val="single" w:sz="4" w:space="0" w:color="000000"/>
              <w:left w:val="single" w:sz="6" w:space="0" w:color="000000"/>
              <w:bottom w:val="single" w:sz="6" w:space="0" w:color="000000"/>
              <w:right w:val="single" w:sz="6" w:space="0" w:color="000000"/>
            </w:tcBorders>
            <w:vAlign w:val="bottom"/>
          </w:tcPr>
          <w:p w:rsidR="00C25E94" w:rsidRDefault="00AA21AD">
            <w:pPr>
              <w:spacing w:after="0" w:line="259" w:lineRule="auto"/>
              <w:ind w:left="6" w:right="0" w:firstLine="0"/>
              <w:jc w:val="center"/>
            </w:pPr>
            <w:r>
              <w:rPr>
                <w:b/>
              </w:rPr>
              <w:t xml:space="preserve">Average </w:t>
            </w:r>
          </w:p>
          <w:p w:rsidR="00C25E94" w:rsidRDefault="00AA21AD">
            <w:pPr>
              <w:spacing w:after="0" w:line="259" w:lineRule="auto"/>
              <w:ind w:left="6" w:right="0" w:firstLine="0"/>
              <w:jc w:val="center"/>
            </w:pPr>
            <w:r>
              <w:rPr>
                <w:b/>
              </w:rPr>
              <w:t xml:space="preserve">Gross </w:t>
            </w:r>
          </w:p>
          <w:p w:rsidR="00C25E94" w:rsidRDefault="00AA21AD">
            <w:pPr>
              <w:spacing w:after="0" w:line="259" w:lineRule="auto"/>
              <w:ind w:left="7" w:right="0" w:firstLine="0"/>
              <w:jc w:val="center"/>
            </w:pPr>
            <w:r>
              <w:rPr>
                <w:b/>
              </w:rPr>
              <w:t>Receipts</w:t>
            </w:r>
          </w:p>
        </w:tc>
        <w:tc>
          <w:tcPr>
            <w:tcW w:w="4680" w:type="dxa"/>
            <w:tcBorders>
              <w:top w:val="single" w:sz="4" w:space="0" w:color="000000"/>
              <w:left w:val="single" w:sz="6" w:space="0" w:color="000000"/>
              <w:bottom w:val="single" w:sz="6" w:space="0" w:color="000000"/>
              <w:right w:val="single" w:sz="4" w:space="0" w:color="000000"/>
            </w:tcBorders>
            <w:vAlign w:val="bottom"/>
          </w:tcPr>
          <w:p w:rsidR="00C25E94" w:rsidRDefault="00AA21AD">
            <w:pPr>
              <w:spacing w:after="0" w:line="259" w:lineRule="auto"/>
              <w:ind w:left="7" w:right="0" w:firstLine="0"/>
              <w:jc w:val="center"/>
            </w:pPr>
            <w:r>
              <w:rPr>
                <w:b/>
              </w:rPr>
              <w:t>Average Gross Receipts Computation</w:t>
            </w:r>
          </w:p>
        </w:tc>
      </w:tr>
      <w:tr w:rsidR="00C25E94">
        <w:trPr>
          <w:trHeight w:val="388"/>
        </w:trPr>
        <w:tc>
          <w:tcPr>
            <w:tcW w:w="828" w:type="dxa"/>
            <w:tcBorders>
              <w:top w:val="single" w:sz="6" w:space="0" w:color="000000"/>
              <w:left w:val="single" w:sz="4" w:space="0" w:color="000000"/>
              <w:bottom w:val="single" w:sz="6" w:space="0" w:color="000000"/>
              <w:right w:val="single" w:sz="6" w:space="0" w:color="000000"/>
            </w:tcBorders>
            <w:vAlign w:val="bottom"/>
          </w:tcPr>
          <w:p w:rsidR="00C25E94" w:rsidRDefault="00AA21AD">
            <w:pPr>
              <w:spacing w:after="0" w:line="259" w:lineRule="auto"/>
              <w:ind w:left="0" w:right="0" w:firstLine="0"/>
              <w:jc w:val="left"/>
            </w:pPr>
            <w:r>
              <w:t xml:space="preserve">2015 </w:t>
            </w:r>
          </w:p>
        </w:tc>
        <w:tc>
          <w:tcPr>
            <w:tcW w:w="2340" w:type="dxa"/>
            <w:tcBorders>
              <w:top w:val="single" w:sz="6" w:space="0" w:color="000000"/>
              <w:left w:val="single" w:sz="6" w:space="0" w:color="000000"/>
              <w:bottom w:val="single" w:sz="6" w:space="0" w:color="000000"/>
              <w:right w:val="single" w:sz="6" w:space="0" w:color="000000"/>
            </w:tcBorders>
            <w:vAlign w:val="bottom"/>
          </w:tcPr>
          <w:p w:rsidR="00C25E94" w:rsidRDefault="00AA21AD">
            <w:pPr>
              <w:spacing w:after="0" w:line="259" w:lineRule="auto"/>
              <w:ind w:left="0" w:right="0" w:firstLine="0"/>
              <w:jc w:val="left"/>
            </w:pPr>
            <w:r>
              <w:t xml:space="preserve">2013 and 2014 </w:t>
            </w:r>
          </w:p>
        </w:tc>
        <w:tc>
          <w:tcPr>
            <w:tcW w:w="1440" w:type="dxa"/>
            <w:tcBorders>
              <w:top w:val="single" w:sz="6" w:space="0" w:color="000000"/>
              <w:left w:val="single" w:sz="6" w:space="0" w:color="000000"/>
              <w:bottom w:val="single" w:sz="6" w:space="0" w:color="000000"/>
              <w:right w:val="single" w:sz="6" w:space="0" w:color="000000"/>
            </w:tcBorders>
            <w:vAlign w:val="bottom"/>
          </w:tcPr>
          <w:p w:rsidR="00C25E94" w:rsidRDefault="00AA21AD">
            <w:pPr>
              <w:spacing w:after="0" w:line="259" w:lineRule="auto"/>
              <w:ind w:left="7" w:right="0" w:firstLine="0"/>
              <w:jc w:val="center"/>
            </w:pPr>
            <w:r>
              <w:t xml:space="preserve">$3,150,492 </w:t>
            </w:r>
          </w:p>
        </w:tc>
        <w:tc>
          <w:tcPr>
            <w:tcW w:w="4680" w:type="dxa"/>
            <w:tcBorders>
              <w:top w:val="single" w:sz="6" w:space="0" w:color="000000"/>
              <w:left w:val="single" w:sz="6" w:space="0" w:color="000000"/>
              <w:bottom w:val="single" w:sz="6" w:space="0" w:color="000000"/>
              <w:right w:val="single" w:sz="4" w:space="0" w:color="000000"/>
            </w:tcBorders>
            <w:vAlign w:val="bottom"/>
          </w:tcPr>
          <w:p w:rsidR="00C25E94" w:rsidRDefault="00AA21AD">
            <w:pPr>
              <w:spacing w:after="0" w:line="259" w:lineRule="auto"/>
              <w:ind w:left="0" w:right="0" w:firstLine="0"/>
              <w:jc w:val="left"/>
            </w:pPr>
            <w:r>
              <w:t xml:space="preserve">($2,990,220 + $3,310,763) ÷ 2 </w:t>
            </w:r>
          </w:p>
        </w:tc>
      </w:tr>
      <w:tr w:rsidR="00C25E94">
        <w:trPr>
          <w:trHeight w:val="388"/>
        </w:trPr>
        <w:tc>
          <w:tcPr>
            <w:tcW w:w="828" w:type="dxa"/>
            <w:tcBorders>
              <w:top w:val="single" w:sz="6" w:space="0" w:color="000000"/>
              <w:left w:val="single" w:sz="4" w:space="0" w:color="000000"/>
              <w:bottom w:val="single" w:sz="6" w:space="0" w:color="000000"/>
              <w:right w:val="single" w:sz="6" w:space="0" w:color="000000"/>
            </w:tcBorders>
            <w:vAlign w:val="bottom"/>
          </w:tcPr>
          <w:p w:rsidR="00C25E94" w:rsidRDefault="00AA21AD">
            <w:pPr>
              <w:spacing w:after="0" w:line="259" w:lineRule="auto"/>
              <w:ind w:left="0" w:right="0" w:firstLine="0"/>
              <w:jc w:val="left"/>
            </w:pPr>
            <w:r>
              <w:t xml:space="preserve">2016 </w:t>
            </w:r>
          </w:p>
        </w:tc>
        <w:tc>
          <w:tcPr>
            <w:tcW w:w="2340" w:type="dxa"/>
            <w:tcBorders>
              <w:top w:val="single" w:sz="6" w:space="0" w:color="000000"/>
              <w:left w:val="single" w:sz="6" w:space="0" w:color="000000"/>
              <w:bottom w:val="single" w:sz="6" w:space="0" w:color="000000"/>
              <w:right w:val="single" w:sz="6" w:space="0" w:color="000000"/>
            </w:tcBorders>
            <w:vAlign w:val="bottom"/>
          </w:tcPr>
          <w:p w:rsidR="00C25E94" w:rsidRDefault="00AA21AD">
            <w:pPr>
              <w:spacing w:after="0" w:line="259" w:lineRule="auto"/>
              <w:ind w:left="0" w:right="0" w:firstLine="0"/>
              <w:jc w:val="left"/>
            </w:pPr>
            <w:r>
              <w:t xml:space="preserve">2013, 2014, and 2015 </w:t>
            </w:r>
          </w:p>
        </w:tc>
        <w:tc>
          <w:tcPr>
            <w:tcW w:w="1440" w:type="dxa"/>
            <w:tcBorders>
              <w:top w:val="single" w:sz="6" w:space="0" w:color="000000"/>
              <w:left w:val="single" w:sz="6" w:space="0" w:color="000000"/>
              <w:bottom w:val="single" w:sz="6" w:space="0" w:color="000000"/>
              <w:right w:val="single" w:sz="6" w:space="0" w:color="000000"/>
            </w:tcBorders>
            <w:vAlign w:val="bottom"/>
          </w:tcPr>
          <w:p w:rsidR="00C25E94" w:rsidRDefault="00AA21AD">
            <w:pPr>
              <w:spacing w:after="0" w:line="259" w:lineRule="auto"/>
              <w:ind w:left="7" w:right="0" w:firstLine="0"/>
              <w:jc w:val="center"/>
            </w:pPr>
            <w:r>
              <w:t xml:space="preserve">$3,728,670 </w:t>
            </w:r>
          </w:p>
        </w:tc>
        <w:tc>
          <w:tcPr>
            <w:tcW w:w="4680" w:type="dxa"/>
            <w:tcBorders>
              <w:top w:val="single" w:sz="6" w:space="0" w:color="000000"/>
              <w:left w:val="single" w:sz="6" w:space="0" w:color="000000"/>
              <w:bottom w:val="single" w:sz="6" w:space="0" w:color="000000"/>
              <w:right w:val="single" w:sz="4" w:space="0" w:color="000000"/>
            </w:tcBorders>
            <w:vAlign w:val="bottom"/>
          </w:tcPr>
          <w:p w:rsidR="00C25E94" w:rsidRDefault="00AA21AD">
            <w:pPr>
              <w:spacing w:after="0" w:line="259" w:lineRule="auto"/>
              <w:ind w:left="0" w:right="0" w:firstLine="0"/>
              <w:jc w:val="left"/>
            </w:pPr>
            <w:r>
              <w:t xml:space="preserve">($2,990,220 + $3,310,763 + $4,885,027) ÷ 3 </w:t>
            </w:r>
          </w:p>
        </w:tc>
      </w:tr>
      <w:tr w:rsidR="00C25E94">
        <w:trPr>
          <w:trHeight w:val="389"/>
        </w:trPr>
        <w:tc>
          <w:tcPr>
            <w:tcW w:w="828" w:type="dxa"/>
            <w:tcBorders>
              <w:top w:val="single" w:sz="6" w:space="0" w:color="000000"/>
              <w:left w:val="single" w:sz="4" w:space="0" w:color="000000"/>
              <w:bottom w:val="single" w:sz="6" w:space="0" w:color="000000"/>
              <w:right w:val="single" w:sz="6" w:space="0" w:color="000000"/>
            </w:tcBorders>
            <w:vAlign w:val="bottom"/>
          </w:tcPr>
          <w:p w:rsidR="00C25E94" w:rsidRDefault="00AA21AD">
            <w:pPr>
              <w:spacing w:after="0" w:line="259" w:lineRule="auto"/>
              <w:ind w:left="0" w:right="0" w:firstLine="0"/>
              <w:jc w:val="left"/>
            </w:pPr>
            <w:r>
              <w:t xml:space="preserve">2017 </w:t>
            </w:r>
          </w:p>
        </w:tc>
        <w:tc>
          <w:tcPr>
            <w:tcW w:w="2340" w:type="dxa"/>
            <w:tcBorders>
              <w:top w:val="single" w:sz="6" w:space="0" w:color="000000"/>
              <w:left w:val="single" w:sz="6" w:space="0" w:color="000000"/>
              <w:bottom w:val="single" w:sz="6" w:space="0" w:color="000000"/>
              <w:right w:val="single" w:sz="6" w:space="0" w:color="000000"/>
            </w:tcBorders>
            <w:vAlign w:val="bottom"/>
          </w:tcPr>
          <w:p w:rsidR="00C25E94" w:rsidRDefault="00AA21AD">
            <w:pPr>
              <w:spacing w:after="0" w:line="259" w:lineRule="auto"/>
              <w:ind w:left="0" w:right="0" w:firstLine="0"/>
              <w:jc w:val="left"/>
            </w:pPr>
            <w:r>
              <w:t xml:space="preserve">2014, 2015, and 2016 </w:t>
            </w:r>
          </w:p>
        </w:tc>
        <w:tc>
          <w:tcPr>
            <w:tcW w:w="1440" w:type="dxa"/>
            <w:tcBorders>
              <w:top w:val="single" w:sz="6" w:space="0" w:color="000000"/>
              <w:left w:val="single" w:sz="6" w:space="0" w:color="000000"/>
              <w:bottom w:val="single" w:sz="6" w:space="0" w:color="000000"/>
              <w:right w:val="single" w:sz="6" w:space="0" w:color="000000"/>
            </w:tcBorders>
            <w:vAlign w:val="bottom"/>
          </w:tcPr>
          <w:p w:rsidR="00C25E94" w:rsidRDefault="00AA21AD">
            <w:pPr>
              <w:spacing w:after="0" w:line="259" w:lineRule="auto"/>
              <w:ind w:left="7" w:right="0" w:firstLine="0"/>
              <w:jc w:val="center"/>
            </w:pPr>
            <w:r>
              <w:t xml:space="preserve">$5,274,157 </w:t>
            </w:r>
          </w:p>
        </w:tc>
        <w:tc>
          <w:tcPr>
            <w:tcW w:w="4680" w:type="dxa"/>
            <w:tcBorders>
              <w:top w:val="single" w:sz="6" w:space="0" w:color="000000"/>
              <w:left w:val="single" w:sz="6" w:space="0" w:color="000000"/>
              <w:bottom w:val="single" w:sz="6" w:space="0" w:color="000000"/>
              <w:right w:val="single" w:sz="4" w:space="0" w:color="000000"/>
            </w:tcBorders>
            <w:vAlign w:val="bottom"/>
          </w:tcPr>
          <w:p w:rsidR="00C25E94" w:rsidRDefault="00AA21AD">
            <w:pPr>
              <w:spacing w:after="0" w:line="259" w:lineRule="auto"/>
              <w:ind w:left="0" w:right="0" w:firstLine="0"/>
              <w:jc w:val="left"/>
            </w:pPr>
            <w:r>
              <w:t xml:space="preserve">($3,310,763 + $4,885,027 + $7,626,681) ÷ 3 </w:t>
            </w:r>
          </w:p>
        </w:tc>
      </w:tr>
      <w:tr w:rsidR="00C25E94">
        <w:trPr>
          <w:trHeight w:val="385"/>
        </w:trPr>
        <w:tc>
          <w:tcPr>
            <w:tcW w:w="828" w:type="dxa"/>
            <w:tcBorders>
              <w:top w:val="single" w:sz="6" w:space="0" w:color="000000"/>
              <w:left w:val="single" w:sz="4" w:space="0" w:color="000000"/>
              <w:bottom w:val="single" w:sz="4" w:space="0" w:color="000000"/>
              <w:right w:val="single" w:sz="6" w:space="0" w:color="000000"/>
            </w:tcBorders>
            <w:vAlign w:val="bottom"/>
          </w:tcPr>
          <w:p w:rsidR="00C25E94" w:rsidRDefault="00AA21AD">
            <w:pPr>
              <w:spacing w:after="0" w:line="259" w:lineRule="auto"/>
              <w:ind w:left="0" w:right="0" w:firstLine="0"/>
              <w:jc w:val="left"/>
            </w:pPr>
            <w:r>
              <w:t xml:space="preserve">2018 </w:t>
            </w:r>
          </w:p>
        </w:tc>
        <w:tc>
          <w:tcPr>
            <w:tcW w:w="2340" w:type="dxa"/>
            <w:tcBorders>
              <w:top w:val="single" w:sz="6" w:space="0" w:color="000000"/>
              <w:left w:val="single" w:sz="6" w:space="0" w:color="000000"/>
              <w:bottom w:val="single" w:sz="4" w:space="0" w:color="000000"/>
              <w:right w:val="single" w:sz="6" w:space="0" w:color="000000"/>
            </w:tcBorders>
            <w:vAlign w:val="bottom"/>
          </w:tcPr>
          <w:p w:rsidR="00C25E94" w:rsidRDefault="00AA21AD">
            <w:pPr>
              <w:spacing w:after="0" w:line="259" w:lineRule="auto"/>
              <w:ind w:left="0" w:right="0" w:firstLine="0"/>
              <w:jc w:val="left"/>
            </w:pPr>
            <w:r>
              <w:t xml:space="preserve">2015, 2016, and 2017 </w:t>
            </w:r>
          </w:p>
        </w:tc>
        <w:tc>
          <w:tcPr>
            <w:tcW w:w="1440" w:type="dxa"/>
            <w:tcBorders>
              <w:top w:val="single" w:sz="6" w:space="0" w:color="000000"/>
              <w:left w:val="single" w:sz="6" w:space="0" w:color="000000"/>
              <w:bottom w:val="single" w:sz="4" w:space="0" w:color="000000"/>
              <w:right w:val="single" w:sz="6" w:space="0" w:color="000000"/>
            </w:tcBorders>
            <w:vAlign w:val="bottom"/>
          </w:tcPr>
          <w:p w:rsidR="00C25E94" w:rsidRDefault="00AA21AD">
            <w:pPr>
              <w:spacing w:after="0" w:line="259" w:lineRule="auto"/>
              <w:ind w:left="7" w:right="0" w:firstLine="0"/>
              <w:jc w:val="center"/>
            </w:pPr>
            <w:r>
              <w:t xml:space="preserve">$7,210,613 </w:t>
            </w:r>
          </w:p>
        </w:tc>
        <w:tc>
          <w:tcPr>
            <w:tcW w:w="4680" w:type="dxa"/>
            <w:tcBorders>
              <w:top w:val="single" w:sz="6" w:space="0" w:color="000000"/>
              <w:left w:val="single" w:sz="6" w:space="0" w:color="000000"/>
              <w:bottom w:val="single" w:sz="4" w:space="0" w:color="000000"/>
              <w:right w:val="single" w:sz="4" w:space="0" w:color="000000"/>
            </w:tcBorders>
            <w:vAlign w:val="bottom"/>
          </w:tcPr>
          <w:p w:rsidR="00C25E94" w:rsidRDefault="00AA21AD">
            <w:pPr>
              <w:spacing w:after="0" w:line="259" w:lineRule="auto"/>
              <w:ind w:left="0" w:right="0" w:firstLine="0"/>
              <w:jc w:val="left"/>
            </w:pPr>
            <w:r>
              <w:t xml:space="preserve">($4,885,027 + $7,626,681 + $9,120,132) ÷ 3 </w:t>
            </w:r>
          </w:p>
        </w:tc>
      </w:tr>
    </w:tbl>
    <w:p w:rsidR="00C25E94" w:rsidRDefault="00AA21AD">
      <w:pPr>
        <w:spacing w:after="0" w:line="259" w:lineRule="auto"/>
        <w:ind w:left="0" w:right="0" w:firstLine="0"/>
        <w:jc w:val="left"/>
      </w:pPr>
      <w:r>
        <w:t xml:space="preserve"> </w:t>
      </w:r>
      <w:r>
        <w:tab/>
        <w:t xml:space="preserve"> </w:t>
      </w:r>
    </w:p>
    <w:p w:rsidR="00C25E94" w:rsidRDefault="00AA21AD">
      <w:pPr>
        <w:spacing w:after="237"/>
        <w:ind w:left="722" w:right="43"/>
      </w:pPr>
      <w:r>
        <w:t xml:space="preserve">Campbell qualifies for the small corporation exemption in each of these years because its average gross receipts do not exceed the $7.5 million threshold. </w:t>
      </w:r>
    </w:p>
    <w:p w:rsidR="00C25E94" w:rsidRDefault="00AA21AD">
      <w:pPr>
        <w:numPr>
          <w:ilvl w:val="0"/>
          <w:numId w:val="9"/>
        </w:numPr>
        <w:ind w:right="43" w:hanging="720"/>
      </w:pPr>
      <w:r>
        <w:t>(LO 7, 8) Alpha, Inc., has no AMT liability as its tentative minimum tax is less than its regular ta</w:t>
      </w:r>
      <w:r>
        <w:t xml:space="preserve">x liability. </w:t>
      </w:r>
    </w:p>
    <w:p w:rsidR="00C25E94" w:rsidRDefault="00AA21AD">
      <w:pPr>
        <w:spacing w:after="4" w:line="259" w:lineRule="auto"/>
        <w:ind w:left="0" w:right="0" w:firstLine="0"/>
        <w:jc w:val="left"/>
      </w:pPr>
      <w:r>
        <w:t xml:space="preserve"> </w:t>
      </w:r>
    </w:p>
    <w:p w:rsidR="00C25E94" w:rsidRDefault="00AA21AD">
      <w:pPr>
        <w:tabs>
          <w:tab w:val="center" w:pos="1080"/>
          <w:tab w:val="center" w:pos="1800"/>
          <w:tab w:val="center" w:pos="3226"/>
          <w:tab w:val="center" w:pos="4681"/>
          <w:tab w:val="center" w:pos="5401"/>
          <w:tab w:val="center" w:pos="6121"/>
          <w:tab w:val="center" w:pos="6841"/>
          <w:tab w:val="center" w:pos="7561"/>
          <w:tab w:val="center" w:pos="8776"/>
        </w:tabs>
        <w:ind w:left="-15" w:right="0" w:firstLine="0"/>
        <w:jc w:val="left"/>
      </w:pPr>
      <w:r>
        <w:rPr>
          <w:rFonts w:ascii="Calibri" w:eastAsia="Calibri" w:hAnsi="Calibri" w:cs="Calibri"/>
        </w:rPr>
        <w:tab/>
      </w:r>
      <w:r>
        <w:t xml:space="preserve"> </w:t>
      </w:r>
      <w:r>
        <w:tab/>
        <w:t xml:space="preserve"> </w:t>
      </w:r>
      <w:r>
        <w:tab/>
        <w:t xml:space="preserve">Taxable income  </w:t>
      </w:r>
      <w:r>
        <w:tab/>
        <w:t xml:space="preserve"> </w:t>
      </w:r>
      <w:r>
        <w:tab/>
        <w:t xml:space="preserve"> </w:t>
      </w:r>
      <w:r>
        <w:tab/>
        <w:t xml:space="preserve"> </w:t>
      </w:r>
      <w:r>
        <w:tab/>
        <w:t xml:space="preserve"> </w:t>
      </w:r>
      <w:r>
        <w:tab/>
        <w:t xml:space="preserve"> </w:t>
      </w:r>
      <w:r>
        <w:tab/>
        <w:t xml:space="preserve">$4,768,600 </w:t>
      </w:r>
    </w:p>
    <w:p w:rsidR="00C25E94" w:rsidRDefault="00AA21AD">
      <w:pPr>
        <w:tabs>
          <w:tab w:val="center" w:pos="1080"/>
          <w:tab w:val="center" w:pos="1800"/>
          <w:tab w:val="center" w:pos="2520"/>
          <w:tab w:val="center" w:pos="3240"/>
          <w:tab w:val="center" w:pos="3960"/>
          <w:tab w:val="center" w:pos="4680"/>
          <w:tab w:val="center" w:pos="5400"/>
          <w:tab w:val="center" w:pos="6120"/>
          <w:tab w:val="center" w:pos="6840"/>
          <w:tab w:val="center" w:pos="7560"/>
          <w:tab w:val="center" w:pos="8784"/>
        </w:tabs>
        <w:spacing w:after="0" w:line="259" w:lineRule="auto"/>
        <w:ind w:left="-15" w:right="0" w:firstLine="0"/>
        <w:jc w:val="left"/>
      </w:pPr>
      <w:r>
        <w:rPr>
          <w:rFonts w:ascii="Calibri" w:eastAsia="Calibri" w:hAnsi="Calibri" w:cs="Calibri"/>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u w:val="single" w:color="000000"/>
        </w:rPr>
        <w:t xml:space="preserve">×     </w:t>
      </w:r>
      <w:r>
        <w:rPr>
          <w:sz w:val="20"/>
          <w:u w:val="single" w:color="000000"/>
        </w:rPr>
        <w:t xml:space="preserve">   </w:t>
      </w:r>
      <w:r>
        <w:rPr>
          <w:u w:val="single" w:color="000000"/>
        </w:rPr>
        <w:t xml:space="preserve"> 34%</w:t>
      </w:r>
      <w:r>
        <w:t xml:space="preserve"> </w:t>
      </w:r>
    </w:p>
    <w:p w:rsidR="00C25E94" w:rsidRDefault="00AA21AD">
      <w:pPr>
        <w:tabs>
          <w:tab w:val="center" w:pos="1080"/>
          <w:tab w:val="center" w:pos="1800"/>
          <w:tab w:val="center" w:pos="3400"/>
          <w:tab w:val="center" w:pos="4681"/>
          <w:tab w:val="center" w:pos="5401"/>
          <w:tab w:val="center" w:pos="6121"/>
          <w:tab w:val="center" w:pos="6841"/>
          <w:tab w:val="center" w:pos="7561"/>
          <w:tab w:val="center" w:pos="8776"/>
        </w:tabs>
        <w:ind w:left="-15" w:right="0" w:firstLine="0"/>
        <w:jc w:val="left"/>
      </w:pPr>
      <w:r>
        <w:rPr>
          <w:rFonts w:ascii="Calibri" w:eastAsia="Calibri" w:hAnsi="Calibri" w:cs="Calibri"/>
        </w:rPr>
        <w:tab/>
      </w:r>
      <w:r>
        <w:t xml:space="preserve"> </w:t>
      </w:r>
      <w:r>
        <w:tab/>
        <w:t xml:space="preserve"> </w:t>
      </w:r>
      <w:r>
        <w:tab/>
        <w:t xml:space="preserve">Regular tax liability </w:t>
      </w:r>
      <w:r>
        <w:tab/>
        <w:t xml:space="preserve"> </w:t>
      </w:r>
      <w:r>
        <w:tab/>
        <w:t xml:space="preserve"> </w:t>
      </w:r>
      <w:r>
        <w:tab/>
        <w:t xml:space="preserve"> </w:t>
      </w:r>
      <w:r>
        <w:tab/>
        <w:t xml:space="preserve"> </w:t>
      </w:r>
      <w:r>
        <w:tab/>
        <w:t xml:space="preserve"> </w:t>
      </w:r>
      <w:r>
        <w:tab/>
      </w:r>
      <w:r>
        <w:rPr>
          <w:u w:val="double" w:color="000000"/>
        </w:rPr>
        <w:t>$1,621,324</w:t>
      </w:r>
      <w:r>
        <w:t xml:space="preserve"> </w:t>
      </w:r>
    </w:p>
    <w:p w:rsidR="00C25E94" w:rsidRDefault="00AA21AD">
      <w:pPr>
        <w:spacing w:line="259" w:lineRule="auto"/>
        <w:ind w:left="720" w:right="0" w:firstLine="0"/>
        <w:jc w:val="left"/>
      </w:pPr>
      <w:r>
        <w:t xml:space="preserve"> </w:t>
      </w:r>
    </w:p>
    <w:p w:rsidR="00C25E94" w:rsidRDefault="00AA21AD">
      <w:pPr>
        <w:tabs>
          <w:tab w:val="center" w:pos="2801"/>
          <w:tab w:val="center" w:pos="3960"/>
          <w:tab w:val="center" w:pos="4680"/>
          <w:tab w:val="center" w:pos="5400"/>
          <w:tab w:val="center" w:pos="6120"/>
          <w:tab w:val="center" w:pos="6840"/>
          <w:tab w:val="center" w:pos="7560"/>
          <w:tab w:val="center" w:pos="8775"/>
        </w:tabs>
        <w:ind w:left="0" w:right="0" w:firstLine="0"/>
        <w:jc w:val="left"/>
      </w:pPr>
      <w:r>
        <w:rPr>
          <w:rFonts w:ascii="Calibri" w:eastAsia="Calibri" w:hAnsi="Calibri" w:cs="Calibri"/>
        </w:rPr>
        <w:lastRenderedPageBreak/>
        <w:tab/>
      </w:r>
      <w:r>
        <w:t xml:space="preserve">AMTI    </w:t>
      </w:r>
      <w:r>
        <w:tab/>
        <w:t xml:space="preserve"> </w:t>
      </w:r>
      <w:r>
        <w:tab/>
        <w:t xml:space="preserve"> </w:t>
      </w:r>
      <w:r>
        <w:tab/>
        <w:t xml:space="preserve"> </w:t>
      </w:r>
      <w:r>
        <w:tab/>
        <w:t xml:space="preserve"> </w:t>
      </w:r>
      <w:r>
        <w:tab/>
        <w:t xml:space="preserve"> </w:t>
      </w:r>
      <w:r>
        <w:tab/>
        <w:t xml:space="preserve"> </w:t>
      </w:r>
      <w:r>
        <w:tab/>
        <w:t xml:space="preserve">$6,124,020 </w:t>
      </w:r>
    </w:p>
    <w:p w:rsidR="00C25E94" w:rsidRDefault="00AA21AD">
      <w:pPr>
        <w:ind w:left="1440" w:right="496" w:hanging="720"/>
      </w:pPr>
      <w:r>
        <w:t xml:space="preserve"> Less:  Exemption       </w:t>
      </w:r>
      <w:r>
        <w:rPr>
          <w:u w:val="single" w:color="000000"/>
        </w:rPr>
        <w:t xml:space="preserve">           (–0–</w:t>
      </w:r>
      <w:r>
        <w:t xml:space="preserve">)* Tentative minimum tax base       $6,124,020 </w:t>
      </w:r>
    </w:p>
    <w:p w:rsidR="00C25E94" w:rsidRDefault="00AA21AD">
      <w:pPr>
        <w:tabs>
          <w:tab w:val="center" w:pos="3290"/>
          <w:tab w:val="center" w:pos="4680"/>
          <w:tab w:val="center" w:pos="5400"/>
          <w:tab w:val="center" w:pos="6120"/>
          <w:tab w:val="center" w:pos="6840"/>
          <w:tab w:val="center" w:pos="7560"/>
          <w:tab w:val="center" w:pos="8791"/>
        </w:tabs>
        <w:ind w:left="0" w:right="0" w:firstLine="0"/>
        <w:jc w:val="left"/>
      </w:pPr>
      <w:r>
        <w:rPr>
          <w:rFonts w:ascii="Calibri" w:eastAsia="Calibri" w:hAnsi="Calibri" w:cs="Calibri"/>
        </w:rPr>
        <w:tab/>
      </w:r>
      <w:r>
        <w:t xml:space="preserve">Times: AMT rate </w:t>
      </w:r>
      <w:r>
        <w:tab/>
        <w:t xml:space="preserve"> </w:t>
      </w:r>
      <w:r>
        <w:tab/>
        <w:t xml:space="preserve"> </w:t>
      </w:r>
      <w:r>
        <w:tab/>
        <w:t xml:space="preserve"> </w:t>
      </w:r>
      <w:r>
        <w:tab/>
        <w:t xml:space="preserve"> </w:t>
      </w:r>
      <w:r>
        <w:tab/>
        <w:t xml:space="preserve"> </w:t>
      </w:r>
      <w:r>
        <w:tab/>
      </w:r>
      <w:r>
        <w:rPr>
          <w:u w:val="single" w:color="000000"/>
        </w:rPr>
        <w:t>×         20%</w:t>
      </w:r>
      <w:r>
        <w:t xml:space="preserve"> </w:t>
      </w:r>
    </w:p>
    <w:p w:rsidR="00C25E94" w:rsidRDefault="00AA21AD">
      <w:pPr>
        <w:tabs>
          <w:tab w:val="center" w:pos="1800"/>
          <w:tab w:val="center" w:pos="4920"/>
          <w:tab w:val="center" w:pos="7563"/>
          <w:tab w:val="center" w:pos="8778"/>
        </w:tabs>
        <w:ind w:left="0" w:right="0" w:firstLine="0"/>
        <w:jc w:val="left"/>
      </w:pPr>
      <w:r>
        <w:rPr>
          <w:rFonts w:ascii="Calibri" w:eastAsia="Calibri" w:hAnsi="Calibri" w:cs="Calibri"/>
        </w:rPr>
        <w:tab/>
      </w:r>
      <w:r>
        <w:t xml:space="preserve"> </w:t>
      </w:r>
      <w:r>
        <w:tab/>
        <w:t xml:space="preserve">Tentative minimum tax before AMT foreign tax credit </w:t>
      </w:r>
      <w:r>
        <w:tab/>
        <w:t xml:space="preserve"> </w:t>
      </w:r>
      <w:r>
        <w:tab/>
        <w:t xml:space="preserve">$1,224,804 </w:t>
      </w:r>
    </w:p>
    <w:p w:rsidR="00C25E94" w:rsidRDefault="00AA21AD">
      <w:pPr>
        <w:tabs>
          <w:tab w:val="center" w:pos="1800"/>
          <w:tab w:val="center" w:pos="3810"/>
          <w:tab w:val="center" w:pos="5401"/>
          <w:tab w:val="center" w:pos="6121"/>
          <w:tab w:val="center" w:pos="6841"/>
          <w:tab w:val="center" w:pos="7561"/>
          <w:tab w:val="center" w:pos="8823"/>
        </w:tabs>
        <w:ind w:left="0" w:right="0" w:firstLine="0"/>
        <w:jc w:val="left"/>
      </w:pPr>
      <w:r>
        <w:rPr>
          <w:rFonts w:ascii="Calibri" w:eastAsia="Calibri" w:hAnsi="Calibri" w:cs="Calibri"/>
        </w:rPr>
        <w:tab/>
      </w:r>
      <w:r>
        <w:t xml:space="preserve"> </w:t>
      </w:r>
      <w:r>
        <w:tab/>
        <w:t xml:space="preserve">Less: AMT foreign tax credit </w:t>
      </w:r>
      <w:r>
        <w:tab/>
        <w:t xml:space="preserve"> </w:t>
      </w:r>
      <w:r>
        <w:tab/>
        <w:t xml:space="preserve"> </w:t>
      </w:r>
      <w:r>
        <w:tab/>
        <w:t xml:space="preserve"> </w:t>
      </w:r>
      <w:r>
        <w:tab/>
        <w:t xml:space="preserve"> </w:t>
      </w:r>
      <w:r>
        <w:tab/>
      </w:r>
      <w:r>
        <w:rPr>
          <w:u w:val="single" w:color="000000"/>
        </w:rPr>
        <w:t xml:space="preserve">      (62,400</w:t>
      </w:r>
      <w:r>
        <w:t xml:space="preserve">) </w:t>
      </w:r>
    </w:p>
    <w:p w:rsidR="00C25E94" w:rsidRDefault="00AA21AD">
      <w:pPr>
        <w:tabs>
          <w:tab w:val="center" w:pos="1800"/>
          <w:tab w:val="center" w:pos="3552"/>
          <w:tab w:val="center" w:pos="5401"/>
          <w:tab w:val="center" w:pos="6121"/>
          <w:tab w:val="center" w:pos="6841"/>
          <w:tab w:val="center" w:pos="7561"/>
          <w:tab w:val="center" w:pos="8776"/>
        </w:tabs>
        <w:ind w:left="0" w:right="0" w:firstLine="0"/>
        <w:jc w:val="left"/>
      </w:pPr>
      <w:r>
        <w:rPr>
          <w:rFonts w:ascii="Calibri" w:eastAsia="Calibri" w:hAnsi="Calibri" w:cs="Calibri"/>
        </w:rPr>
        <w:tab/>
      </w:r>
      <w:r>
        <w:t xml:space="preserve"> </w:t>
      </w:r>
      <w:r>
        <w:tab/>
        <w:t xml:space="preserve">Tentative minimum tax  </w:t>
      </w:r>
      <w:r>
        <w:tab/>
        <w:t xml:space="preserve"> </w:t>
      </w:r>
      <w:r>
        <w:tab/>
        <w:t xml:space="preserve"> </w:t>
      </w:r>
      <w:r>
        <w:tab/>
        <w:t xml:space="preserve"> </w:t>
      </w:r>
      <w:r>
        <w:tab/>
        <w:t xml:space="preserve"> </w:t>
      </w:r>
      <w:r>
        <w:tab/>
      </w:r>
      <w:r>
        <w:rPr>
          <w:u w:val="double" w:color="000000"/>
        </w:rPr>
        <w:t>$1,</w:t>
      </w:r>
      <w:r>
        <w:rPr>
          <w:u w:val="double" w:color="000000"/>
        </w:rPr>
        <w:t>162,404</w:t>
      </w:r>
      <w:r>
        <w:t xml:space="preserve"> </w:t>
      </w:r>
    </w:p>
    <w:p w:rsidR="00C25E94" w:rsidRDefault="00AA21AD">
      <w:pPr>
        <w:spacing w:after="11" w:line="259" w:lineRule="auto"/>
        <w:ind w:left="720" w:right="0" w:firstLine="0"/>
        <w:jc w:val="left"/>
      </w:pPr>
      <w:r>
        <w:t xml:space="preserve"> </w:t>
      </w:r>
      <w:r>
        <w:tab/>
        <w:t xml:space="preserve"> </w:t>
      </w:r>
    </w:p>
    <w:p w:rsidR="00C25E94" w:rsidRDefault="00AA21AD">
      <w:pPr>
        <w:tabs>
          <w:tab w:val="center" w:pos="4924"/>
          <w:tab w:val="center" w:pos="7560"/>
          <w:tab w:val="center" w:pos="8775"/>
        </w:tabs>
        <w:ind w:left="0" w:right="0" w:firstLine="0"/>
        <w:jc w:val="left"/>
      </w:pPr>
      <w:r>
        <w:rPr>
          <w:rFonts w:ascii="Calibri" w:eastAsia="Calibri" w:hAnsi="Calibri" w:cs="Calibri"/>
        </w:rPr>
        <w:tab/>
      </w:r>
      <w:r>
        <w:t xml:space="preserve">Regular tax liability (net of $62,400 foreign tax credit) </w:t>
      </w:r>
      <w:r>
        <w:tab/>
        <w:t xml:space="preserve"> </w:t>
      </w:r>
      <w:r>
        <w:tab/>
      </w:r>
      <w:r>
        <w:rPr>
          <w:u w:val="double" w:color="000000"/>
        </w:rPr>
        <w:t>$1,558,924</w:t>
      </w:r>
      <w:r>
        <w:t xml:space="preserve"> </w:t>
      </w:r>
    </w:p>
    <w:p w:rsidR="00C25E94" w:rsidRDefault="00AA21AD">
      <w:pPr>
        <w:spacing w:after="11" w:line="259" w:lineRule="auto"/>
        <w:ind w:left="720" w:right="0" w:firstLine="0"/>
        <w:jc w:val="left"/>
      </w:pPr>
      <w:r>
        <w:t xml:space="preserve"> </w:t>
      </w:r>
      <w:r>
        <w:tab/>
        <w:t xml:space="preserve"> </w:t>
      </w:r>
    </w:p>
    <w:p w:rsidR="00C25E94" w:rsidRDefault="00AA21AD">
      <w:pPr>
        <w:tabs>
          <w:tab w:val="center" w:pos="3632"/>
          <w:tab w:val="center" w:pos="5400"/>
          <w:tab w:val="center" w:pos="6120"/>
          <w:tab w:val="center" w:pos="6840"/>
          <w:tab w:val="center" w:pos="7560"/>
          <w:tab w:val="center" w:pos="8776"/>
        </w:tabs>
        <w:ind w:left="0" w:right="0" w:firstLine="0"/>
        <w:jc w:val="left"/>
      </w:pPr>
      <w:r>
        <w:rPr>
          <w:rFonts w:ascii="Calibri" w:eastAsia="Calibri" w:hAnsi="Calibri" w:cs="Calibri"/>
        </w:rPr>
        <w:tab/>
      </w:r>
      <w:r>
        <w:t xml:space="preserve">Alternative minimum tax </w:t>
      </w:r>
      <w:r>
        <w:tab/>
        <w:t xml:space="preserve"> </w:t>
      </w:r>
      <w:r>
        <w:tab/>
        <w:t xml:space="preserve"> </w:t>
      </w:r>
      <w:r>
        <w:tab/>
        <w:t xml:space="preserve"> </w:t>
      </w:r>
      <w:r>
        <w:tab/>
        <w:t xml:space="preserve"> </w:t>
      </w:r>
      <w:r>
        <w:tab/>
      </w:r>
      <w:r>
        <w:rPr>
          <w:u w:val="double" w:color="000000"/>
        </w:rPr>
        <w:t>$          –0–</w:t>
      </w:r>
      <w:r>
        <w:t xml:space="preserve"> </w:t>
      </w:r>
    </w:p>
    <w:p w:rsidR="00C25E94" w:rsidRDefault="00AA21AD">
      <w:pPr>
        <w:spacing w:after="68" w:line="259" w:lineRule="auto"/>
        <w:ind w:left="720" w:right="0" w:firstLine="0"/>
        <w:jc w:val="left"/>
      </w:pPr>
      <w:r>
        <w:rPr>
          <w:sz w:val="16"/>
        </w:rPr>
        <w:t xml:space="preserve"> </w:t>
      </w:r>
    </w:p>
    <w:p w:rsidR="00C25E94" w:rsidRDefault="00AA21AD">
      <w:pPr>
        <w:tabs>
          <w:tab w:val="center" w:pos="1800"/>
          <w:tab w:val="center" w:pos="5368"/>
        </w:tabs>
        <w:ind w:left="0" w:right="0" w:firstLine="0"/>
        <w:jc w:val="left"/>
      </w:pPr>
      <w:r>
        <w:rPr>
          <w:rFonts w:ascii="Calibri" w:eastAsia="Calibri" w:hAnsi="Calibri" w:cs="Calibri"/>
        </w:rPr>
        <w:tab/>
      </w:r>
      <w:r>
        <w:t xml:space="preserve"> </w:t>
      </w:r>
      <w:r>
        <w:tab/>
        <w:t xml:space="preserve">* AMTI exceeds $310,000; exemption is completely phased out. </w:t>
      </w:r>
    </w:p>
    <w:p w:rsidR="00C25E94" w:rsidRDefault="00AA21AD">
      <w:pPr>
        <w:spacing w:line="259" w:lineRule="auto"/>
        <w:ind w:left="720" w:right="0" w:firstLine="0"/>
        <w:jc w:val="left"/>
      </w:pPr>
      <w:r>
        <w:t xml:space="preserve"> </w:t>
      </w:r>
    </w:p>
    <w:p w:rsidR="00C25E94" w:rsidRDefault="00AA21AD">
      <w:pPr>
        <w:numPr>
          <w:ilvl w:val="0"/>
          <w:numId w:val="10"/>
        </w:numPr>
        <w:ind w:right="43" w:hanging="720"/>
      </w:pPr>
      <w:r>
        <w:t xml:space="preserve">(LO 7, 8) </w:t>
      </w:r>
    </w:p>
    <w:p w:rsidR="00C25E94" w:rsidRDefault="00AA21AD">
      <w:pPr>
        <w:numPr>
          <w:ilvl w:val="1"/>
          <w:numId w:val="10"/>
        </w:numPr>
        <w:ind w:right="43" w:hanging="495"/>
      </w:pPr>
      <w:r>
        <w:t xml:space="preserve">Calculations: </w:t>
      </w:r>
    </w:p>
    <w:p w:rsidR="00C25E94" w:rsidRDefault="00AA21AD">
      <w:pPr>
        <w:tabs>
          <w:tab w:val="center" w:pos="1800"/>
          <w:tab w:val="center" w:pos="3553"/>
          <w:tab w:val="center" w:pos="5402"/>
          <w:tab w:val="center" w:pos="6122"/>
          <w:tab w:val="center" w:pos="6842"/>
          <w:tab w:val="center" w:pos="7562"/>
          <w:tab w:val="center" w:pos="8776"/>
        </w:tabs>
        <w:ind w:left="0" w:right="0" w:firstLine="0"/>
        <w:jc w:val="left"/>
      </w:pPr>
      <w:r>
        <w:rPr>
          <w:rFonts w:ascii="Calibri" w:eastAsia="Calibri" w:hAnsi="Calibri" w:cs="Calibri"/>
        </w:rPr>
        <w:tab/>
      </w:r>
      <w:r>
        <w:t xml:space="preserve"> </w:t>
      </w:r>
      <w:r>
        <w:tab/>
        <w:t xml:space="preserve">Tentative minimum tax    </w:t>
      </w:r>
      <w:r>
        <w:tab/>
        <w:t xml:space="preserve"> </w:t>
      </w:r>
      <w:r>
        <w:tab/>
        <w:t xml:space="preserve"> </w:t>
      </w:r>
      <w:r>
        <w:tab/>
        <w:t xml:space="preserve"> </w:t>
      </w:r>
      <w:r>
        <w:tab/>
        <w:t xml:space="preserve"> </w:t>
      </w:r>
      <w:r>
        <w:tab/>
        <w:t xml:space="preserve">$1,223,690 </w:t>
      </w:r>
    </w:p>
    <w:p w:rsidR="00C25E94" w:rsidRDefault="00AA21AD">
      <w:pPr>
        <w:tabs>
          <w:tab w:val="center" w:pos="3400"/>
          <w:tab w:val="center" w:pos="5401"/>
          <w:tab w:val="center" w:pos="6121"/>
          <w:tab w:val="center" w:pos="6841"/>
          <w:tab w:val="center" w:pos="7561"/>
          <w:tab w:val="center" w:pos="8822"/>
        </w:tabs>
        <w:ind w:left="0" w:right="0" w:firstLine="0"/>
        <w:jc w:val="left"/>
      </w:pPr>
      <w:r>
        <w:rPr>
          <w:rFonts w:ascii="Calibri" w:eastAsia="Calibri" w:hAnsi="Calibri" w:cs="Calibri"/>
        </w:rPr>
        <w:tab/>
      </w:r>
      <w:r>
        <w:t xml:space="preserve">Regular tax liability            </w:t>
      </w:r>
      <w:r>
        <w:tab/>
        <w:t xml:space="preserve"> </w:t>
      </w:r>
      <w:r>
        <w:tab/>
        <w:t xml:space="preserve"> </w:t>
      </w:r>
      <w:r>
        <w:tab/>
        <w:t xml:space="preserve"> </w:t>
      </w:r>
      <w:r>
        <w:tab/>
        <w:t xml:space="preserve"> </w:t>
      </w:r>
      <w:r>
        <w:tab/>
        <w:t xml:space="preserve"> </w:t>
      </w:r>
      <w:r>
        <w:rPr>
          <w:u w:val="single" w:color="000000"/>
        </w:rPr>
        <w:t>(1,102,005</w:t>
      </w:r>
      <w:r>
        <w:t xml:space="preserve">) </w:t>
      </w:r>
    </w:p>
    <w:p w:rsidR="00C25E94" w:rsidRDefault="00AA21AD">
      <w:pPr>
        <w:tabs>
          <w:tab w:val="center" w:pos="2520"/>
          <w:tab w:val="center" w:pos="4353"/>
          <w:tab w:val="center" w:pos="6122"/>
          <w:tab w:val="center" w:pos="6842"/>
          <w:tab w:val="center" w:pos="7562"/>
          <w:tab w:val="center" w:pos="8777"/>
        </w:tabs>
        <w:ind w:left="0" w:right="0" w:firstLine="0"/>
        <w:jc w:val="left"/>
      </w:pPr>
      <w:r>
        <w:rPr>
          <w:rFonts w:ascii="Calibri" w:eastAsia="Calibri" w:hAnsi="Calibri" w:cs="Calibri"/>
        </w:rPr>
        <w:tab/>
      </w:r>
      <w:r>
        <w:t xml:space="preserve"> </w:t>
      </w:r>
      <w:r>
        <w:tab/>
        <w:t xml:space="preserve">Alternative minimum tax </w:t>
      </w:r>
      <w:r>
        <w:tab/>
        <w:t xml:space="preserve"> </w:t>
      </w:r>
      <w:r>
        <w:tab/>
        <w:t xml:space="preserve"> </w:t>
      </w:r>
      <w:r>
        <w:tab/>
        <w:t xml:space="preserve"> </w:t>
      </w:r>
      <w:r>
        <w:tab/>
      </w:r>
      <w:r>
        <w:rPr>
          <w:u w:val="double" w:color="000000"/>
        </w:rPr>
        <w:t>$   121,685</w:t>
      </w:r>
      <w:r>
        <w:t xml:space="preserve"> </w:t>
      </w:r>
    </w:p>
    <w:p w:rsidR="00C25E94" w:rsidRDefault="00AA21AD">
      <w:pPr>
        <w:spacing w:after="4" w:line="259" w:lineRule="auto"/>
        <w:ind w:left="1440" w:right="0" w:firstLine="0"/>
        <w:jc w:val="left"/>
      </w:pPr>
      <w:r>
        <w:t xml:space="preserve"> </w:t>
      </w:r>
    </w:p>
    <w:p w:rsidR="00C25E94" w:rsidRDefault="00AA21AD">
      <w:pPr>
        <w:tabs>
          <w:tab w:val="center" w:pos="3849"/>
          <w:tab w:val="center" w:pos="5402"/>
          <w:tab w:val="center" w:pos="6122"/>
          <w:tab w:val="center" w:pos="6842"/>
          <w:tab w:val="center" w:pos="7562"/>
          <w:tab w:val="center" w:pos="8777"/>
        </w:tabs>
        <w:ind w:left="0" w:right="0" w:firstLine="0"/>
        <w:jc w:val="left"/>
      </w:pPr>
      <w:r>
        <w:rPr>
          <w:rFonts w:ascii="Calibri" w:eastAsia="Calibri" w:hAnsi="Calibri" w:cs="Calibri"/>
        </w:rPr>
        <w:tab/>
      </w:r>
      <w:r>
        <w:t xml:space="preserve">Minimum tax credit carryover </w:t>
      </w:r>
      <w:r>
        <w:tab/>
        <w:t xml:space="preserve"> </w:t>
      </w:r>
      <w:r>
        <w:tab/>
        <w:t xml:space="preserve"> </w:t>
      </w:r>
      <w:r>
        <w:tab/>
        <w:t xml:space="preserve"> </w:t>
      </w:r>
      <w:r>
        <w:tab/>
        <w:t xml:space="preserve"> </w:t>
      </w:r>
      <w:r>
        <w:tab/>
      </w:r>
      <w:r>
        <w:rPr>
          <w:u w:val="double" w:color="000000"/>
        </w:rPr>
        <w:t>$   121,685</w:t>
      </w:r>
      <w:r>
        <w:t xml:space="preserve"> </w:t>
      </w:r>
    </w:p>
    <w:p w:rsidR="00C25E94" w:rsidRDefault="00AA21AD">
      <w:pPr>
        <w:spacing w:after="0" w:line="259" w:lineRule="auto"/>
        <w:ind w:left="720" w:right="0" w:firstLine="0"/>
        <w:jc w:val="left"/>
      </w:pPr>
      <w:r>
        <w:t xml:space="preserve"> </w:t>
      </w:r>
    </w:p>
    <w:p w:rsidR="00C25E94" w:rsidRDefault="00AA21AD">
      <w:pPr>
        <w:spacing w:after="0" w:line="259" w:lineRule="auto"/>
        <w:ind w:left="720" w:right="0" w:firstLine="0"/>
        <w:jc w:val="left"/>
      </w:pPr>
      <w:r>
        <w:t xml:space="preserve"> </w:t>
      </w:r>
    </w:p>
    <w:p w:rsidR="00C25E94" w:rsidRDefault="00AA21AD">
      <w:pPr>
        <w:spacing w:after="0" w:line="259" w:lineRule="auto"/>
        <w:ind w:left="720" w:right="0" w:firstLine="0"/>
        <w:jc w:val="left"/>
      </w:pPr>
      <w:r>
        <w:t xml:space="preserve"> </w:t>
      </w:r>
    </w:p>
    <w:p w:rsidR="00C25E94" w:rsidRDefault="00AA21AD">
      <w:pPr>
        <w:numPr>
          <w:ilvl w:val="1"/>
          <w:numId w:val="10"/>
        </w:numPr>
        <w:ind w:right="43" w:hanging="495"/>
      </w:pPr>
      <w:r>
        <w:t xml:space="preserve">Calculations: </w:t>
      </w:r>
    </w:p>
    <w:p w:rsidR="00C25E94" w:rsidRDefault="00AA21AD">
      <w:pPr>
        <w:tabs>
          <w:tab w:val="center" w:pos="720"/>
          <w:tab w:val="center" w:pos="2473"/>
          <w:tab w:val="center" w:pos="4322"/>
          <w:tab w:val="center" w:pos="5042"/>
          <w:tab w:val="center" w:pos="5762"/>
          <w:tab w:val="center" w:pos="6976"/>
        </w:tabs>
        <w:ind w:left="0" w:right="0" w:firstLine="0"/>
        <w:jc w:val="left"/>
      </w:pPr>
      <w:r>
        <w:rPr>
          <w:rFonts w:ascii="Calibri" w:eastAsia="Calibri" w:hAnsi="Calibri" w:cs="Calibri"/>
        </w:rPr>
        <w:tab/>
      </w:r>
      <w:r>
        <w:t xml:space="preserve"> </w:t>
      </w:r>
      <w:r>
        <w:tab/>
        <w:t xml:space="preserve">Tentative minimum tax   </w:t>
      </w:r>
      <w:r>
        <w:tab/>
        <w:t xml:space="preserve"> </w:t>
      </w:r>
      <w:r>
        <w:tab/>
        <w:t xml:space="preserve"> </w:t>
      </w:r>
      <w:r>
        <w:tab/>
        <w:t xml:space="preserve"> </w:t>
      </w:r>
      <w:r>
        <w:tab/>
      </w:r>
      <w:r>
        <w:rPr>
          <w:u w:val="double" w:color="000000"/>
        </w:rPr>
        <w:t>$   976,420</w:t>
      </w:r>
      <w:r>
        <w:t xml:space="preserve"> </w:t>
      </w:r>
    </w:p>
    <w:p w:rsidR="00C25E94" w:rsidRDefault="00AA21AD">
      <w:pPr>
        <w:spacing w:after="4" w:line="259" w:lineRule="auto"/>
        <w:ind w:left="720" w:right="0" w:firstLine="0"/>
        <w:jc w:val="left"/>
      </w:pPr>
      <w:r>
        <w:t xml:space="preserve"> </w:t>
      </w:r>
    </w:p>
    <w:p w:rsidR="00C25E94" w:rsidRDefault="00AA21AD">
      <w:pPr>
        <w:tabs>
          <w:tab w:val="center" w:pos="720"/>
          <w:tab w:val="center" w:pos="2320"/>
          <w:tab w:val="center" w:pos="3601"/>
          <w:tab w:val="center" w:pos="4321"/>
          <w:tab w:val="center" w:pos="5041"/>
          <w:tab w:val="center" w:pos="5761"/>
          <w:tab w:val="center" w:pos="6976"/>
        </w:tabs>
        <w:ind w:left="0" w:right="0" w:firstLine="0"/>
        <w:jc w:val="left"/>
      </w:pPr>
      <w:r>
        <w:rPr>
          <w:rFonts w:ascii="Calibri" w:eastAsia="Calibri" w:hAnsi="Calibri" w:cs="Calibri"/>
        </w:rPr>
        <w:tab/>
      </w:r>
      <w:r>
        <w:t xml:space="preserve"> </w:t>
      </w:r>
      <w:r>
        <w:tab/>
        <w:t xml:space="preserve">Regular tax liability </w:t>
      </w:r>
      <w:r>
        <w:tab/>
        <w:t xml:space="preserve"> </w:t>
      </w:r>
      <w:r>
        <w:tab/>
        <w:t xml:space="preserve"> </w:t>
      </w:r>
      <w:r>
        <w:tab/>
        <w:t xml:space="preserve"> </w:t>
      </w:r>
      <w:r>
        <w:tab/>
        <w:t xml:space="preserve"> </w:t>
      </w:r>
      <w:r>
        <w:tab/>
        <w:t xml:space="preserve">$   993,014 </w:t>
      </w:r>
    </w:p>
    <w:p w:rsidR="00C25E94" w:rsidRDefault="00AA21AD">
      <w:pPr>
        <w:tabs>
          <w:tab w:val="center" w:pos="720"/>
          <w:tab w:val="center" w:pos="1672"/>
          <w:tab w:val="center" w:pos="3270"/>
          <w:tab w:val="center" w:pos="5040"/>
          <w:tab w:val="center" w:pos="5760"/>
          <w:tab w:val="center" w:pos="7022"/>
        </w:tabs>
        <w:ind w:left="0" w:right="0" w:firstLine="0"/>
        <w:jc w:val="left"/>
      </w:pPr>
      <w:r>
        <w:rPr>
          <w:rFonts w:ascii="Calibri" w:eastAsia="Calibri" w:hAnsi="Calibri" w:cs="Calibri"/>
        </w:rPr>
        <w:tab/>
      </w:r>
      <w:r>
        <w:t xml:space="preserve"> </w:t>
      </w:r>
      <w:r>
        <w:tab/>
        <w:t xml:space="preserve">Less: </w:t>
      </w:r>
      <w:r>
        <w:tab/>
        <w:t xml:space="preserve">Minimum tax credit used </w:t>
      </w:r>
      <w:r>
        <w:tab/>
        <w:t xml:space="preserve"> </w:t>
      </w:r>
      <w:r>
        <w:tab/>
        <w:t xml:space="preserve"> </w:t>
      </w:r>
      <w:r>
        <w:tab/>
      </w:r>
      <w:r>
        <w:rPr>
          <w:u w:val="single" w:color="000000"/>
        </w:rPr>
        <w:t xml:space="preserve">      (16,594</w:t>
      </w:r>
      <w:r>
        <w:t xml:space="preserve">) </w:t>
      </w:r>
    </w:p>
    <w:p w:rsidR="00C25E94" w:rsidRDefault="00AA21AD">
      <w:pPr>
        <w:tabs>
          <w:tab w:val="center" w:pos="720"/>
          <w:tab w:val="center" w:pos="1440"/>
          <w:tab w:val="center" w:pos="3190"/>
          <w:tab w:val="center" w:pos="5040"/>
          <w:tab w:val="center" w:pos="5760"/>
          <w:tab w:val="center" w:pos="6976"/>
        </w:tabs>
        <w:ind w:left="0" w:right="0" w:firstLine="0"/>
        <w:jc w:val="left"/>
      </w:pPr>
      <w:r>
        <w:rPr>
          <w:rFonts w:ascii="Calibri" w:eastAsia="Calibri" w:hAnsi="Calibri" w:cs="Calibri"/>
        </w:rPr>
        <w:tab/>
      </w:r>
      <w:r>
        <w:t xml:space="preserve"> </w:t>
      </w:r>
      <w:r>
        <w:tab/>
        <w:t xml:space="preserve"> </w:t>
      </w:r>
      <w:r>
        <w:tab/>
        <w:t xml:space="preserve">Net regular tax liability  </w:t>
      </w:r>
      <w:r>
        <w:tab/>
        <w:t xml:space="preserve"> </w:t>
      </w:r>
      <w:r>
        <w:tab/>
        <w:t xml:space="preserve"> </w:t>
      </w:r>
      <w:r>
        <w:tab/>
      </w:r>
      <w:r>
        <w:rPr>
          <w:u w:val="double" w:color="000000"/>
        </w:rPr>
        <w:t>$   976,420</w:t>
      </w:r>
      <w:r>
        <w:t xml:space="preserve"> </w:t>
      </w:r>
    </w:p>
    <w:p w:rsidR="00C25E94" w:rsidRDefault="00AA21AD">
      <w:pPr>
        <w:spacing w:line="259" w:lineRule="auto"/>
        <w:ind w:left="720" w:right="0" w:firstLine="0"/>
        <w:jc w:val="left"/>
      </w:pPr>
      <w:r>
        <w:t xml:space="preserve"> </w:t>
      </w:r>
    </w:p>
    <w:p w:rsidR="00C25E94" w:rsidRDefault="00AA21AD">
      <w:pPr>
        <w:tabs>
          <w:tab w:val="center" w:pos="720"/>
          <w:tab w:val="center" w:pos="3017"/>
          <w:tab w:val="center" w:pos="5042"/>
          <w:tab w:val="center" w:pos="5762"/>
          <w:tab w:val="center" w:pos="6977"/>
        </w:tabs>
        <w:ind w:left="0" w:right="0" w:firstLine="0"/>
        <w:jc w:val="left"/>
      </w:pPr>
      <w:r>
        <w:rPr>
          <w:rFonts w:ascii="Calibri" w:eastAsia="Calibri" w:hAnsi="Calibri" w:cs="Calibri"/>
        </w:rPr>
        <w:tab/>
      </w:r>
      <w:r>
        <w:t xml:space="preserve"> </w:t>
      </w:r>
      <w:r>
        <w:tab/>
        <w:t xml:space="preserve">2017 Minimum tax credit carryover </w:t>
      </w:r>
      <w:r>
        <w:tab/>
        <w:t xml:space="preserve"> </w:t>
      </w:r>
      <w:r>
        <w:tab/>
        <w:t xml:space="preserve"> </w:t>
      </w:r>
      <w:r>
        <w:tab/>
        <w:t xml:space="preserve">$   121,685 </w:t>
      </w:r>
    </w:p>
    <w:p w:rsidR="00C25E94" w:rsidRDefault="00AA21AD">
      <w:pPr>
        <w:tabs>
          <w:tab w:val="center" w:pos="720"/>
          <w:tab w:val="center" w:pos="1672"/>
          <w:tab w:val="center" w:pos="3591"/>
          <w:tab w:val="center" w:pos="5761"/>
          <w:tab w:val="center" w:pos="7022"/>
        </w:tabs>
        <w:ind w:left="0" w:right="0" w:firstLine="0"/>
        <w:jc w:val="left"/>
      </w:pPr>
      <w:r>
        <w:rPr>
          <w:rFonts w:ascii="Calibri" w:eastAsia="Calibri" w:hAnsi="Calibri" w:cs="Calibri"/>
        </w:rPr>
        <w:tab/>
      </w:r>
      <w:r>
        <w:t xml:space="preserve"> </w:t>
      </w:r>
      <w:r>
        <w:tab/>
        <w:t xml:space="preserve">Less: </w:t>
      </w:r>
      <w:r>
        <w:tab/>
        <w:t xml:space="preserve">Minimum tax credit used (2018)  </w:t>
      </w:r>
      <w:r>
        <w:tab/>
        <w:t xml:space="preserve"> </w:t>
      </w:r>
      <w:r>
        <w:tab/>
      </w:r>
      <w:r>
        <w:rPr>
          <w:u w:val="single" w:color="000000"/>
        </w:rPr>
        <w:t xml:space="preserve">      (16,594</w:t>
      </w:r>
      <w:r>
        <w:t xml:space="preserve">) </w:t>
      </w:r>
    </w:p>
    <w:p w:rsidR="00C25E94" w:rsidRDefault="00AA21AD">
      <w:pPr>
        <w:tabs>
          <w:tab w:val="center" w:pos="720"/>
          <w:tab w:val="center" w:pos="1440"/>
          <w:tab w:val="center" w:pos="3489"/>
          <w:tab w:val="center" w:pos="5042"/>
          <w:tab w:val="center" w:pos="5762"/>
          <w:tab w:val="center" w:pos="6976"/>
        </w:tabs>
        <w:ind w:left="0" w:right="0" w:firstLine="0"/>
        <w:jc w:val="left"/>
      </w:pPr>
      <w:r>
        <w:rPr>
          <w:rFonts w:ascii="Calibri" w:eastAsia="Calibri" w:hAnsi="Calibri" w:cs="Calibri"/>
        </w:rPr>
        <w:tab/>
      </w:r>
      <w:r>
        <w:t xml:space="preserve"> </w:t>
      </w:r>
      <w:r>
        <w:tab/>
        <w:t xml:space="preserve"> </w:t>
      </w:r>
      <w:r>
        <w:tab/>
        <w:t xml:space="preserve">Minimum tax credit carryover </w:t>
      </w:r>
      <w:r>
        <w:tab/>
        <w:t xml:space="preserve"> </w:t>
      </w:r>
      <w:r>
        <w:tab/>
        <w:t xml:space="preserve"> </w:t>
      </w:r>
      <w:r>
        <w:tab/>
      </w:r>
      <w:r>
        <w:rPr>
          <w:u w:val="double" w:color="000000"/>
        </w:rPr>
        <w:t>$   105,091</w:t>
      </w:r>
      <w:r>
        <w:t xml:space="preserve"> </w:t>
      </w:r>
    </w:p>
    <w:p w:rsidR="00C25E94" w:rsidRDefault="00AA21AD">
      <w:pPr>
        <w:spacing w:after="0" w:line="259" w:lineRule="auto"/>
        <w:ind w:left="720" w:right="0" w:firstLine="0"/>
        <w:jc w:val="left"/>
      </w:pPr>
      <w:r>
        <w:t xml:space="preserve"> </w:t>
      </w:r>
    </w:p>
    <w:p w:rsidR="00C25E94" w:rsidRDefault="00AA21AD">
      <w:pPr>
        <w:numPr>
          <w:ilvl w:val="0"/>
          <w:numId w:val="10"/>
        </w:numPr>
        <w:ind w:right="43" w:hanging="720"/>
      </w:pPr>
      <w:r>
        <w:t xml:space="preserve">(LO 7, 8) For regular tax, Gold uses MACRS (200% declining balance); for AMT purposes, Gold must use 150% declining balance (see Tables 3.6 and 3.7 for cost recovery factors). </w:t>
      </w:r>
    </w:p>
    <w:p w:rsidR="00C25E94" w:rsidRDefault="00AA21AD">
      <w:pPr>
        <w:spacing w:after="48" w:line="259" w:lineRule="auto"/>
        <w:ind w:left="0" w:right="0" w:firstLine="0"/>
        <w:jc w:val="left"/>
      </w:pPr>
      <w:r>
        <w:t xml:space="preserve"> </w:t>
      </w:r>
    </w:p>
    <w:tbl>
      <w:tblPr>
        <w:tblStyle w:val="TableGrid"/>
        <w:tblpPr w:vertAnchor="text" w:tblpX="3154" w:tblpY="-117"/>
        <w:tblOverlap w:val="never"/>
        <w:tblW w:w="6349" w:type="dxa"/>
        <w:tblInd w:w="0" w:type="dxa"/>
        <w:tblCellMar>
          <w:top w:w="26" w:type="dxa"/>
          <w:left w:w="0" w:type="dxa"/>
          <w:bottom w:w="0" w:type="dxa"/>
          <w:right w:w="115" w:type="dxa"/>
        </w:tblCellMar>
        <w:tblLook w:val="04A0" w:firstRow="1" w:lastRow="0" w:firstColumn="1" w:lastColumn="0" w:noHBand="0" w:noVBand="1"/>
      </w:tblPr>
      <w:tblGrid>
        <w:gridCol w:w="1131"/>
        <w:gridCol w:w="1008"/>
        <w:gridCol w:w="1011"/>
        <w:gridCol w:w="1079"/>
        <w:gridCol w:w="2120"/>
      </w:tblGrid>
      <w:tr w:rsidR="00C25E94">
        <w:trPr>
          <w:trHeight w:val="384"/>
        </w:trPr>
        <w:tc>
          <w:tcPr>
            <w:tcW w:w="1131" w:type="dxa"/>
            <w:tcBorders>
              <w:top w:val="single" w:sz="4" w:space="0" w:color="000000"/>
              <w:left w:val="nil"/>
              <w:bottom w:val="single" w:sz="4" w:space="0" w:color="000000"/>
              <w:right w:val="nil"/>
            </w:tcBorders>
          </w:tcPr>
          <w:p w:rsidR="00C25E94" w:rsidRDefault="00AA21AD">
            <w:pPr>
              <w:spacing w:after="0" w:line="259" w:lineRule="auto"/>
              <w:ind w:left="21" w:right="0" w:firstLine="0"/>
              <w:jc w:val="center"/>
            </w:pPr>
            <w:r>
              <w:rPr>
                <w:b/>
              </w:rPr>
              <w:t xml:space="preserve">2017 </w:t>
            </w:r>
          </w:p>
        </w:tc>
        <w:tc>
          <w:tcPr>
            <w:tcW w:w="1008" w:type="dxa"/>
            <w:tcBorders>
              <w:top w:val="single" w:sz="4" w:space="0" w:color="000000"/>
              <w:left w:val="nil"/>
              <w:bottom w:val="single" w:sz="4" w:space="0" w:color="000000"/>
              <w:right w:val="nil"/>
            </w:tcBorders>
          </w:tcPr>
          <w:p w:rsidR="00C25E94" w:rsidRDefault="00AA21AD">
            <w:pPr>
              <w:spacing w:after="0" w:line="259" w:lineRule="auto"/>
              <w:ind w:left="175" w:right="0" w:firstLine="0"/>
              <w:jc w:val="left"/>
            </w:pPr>
            <w:r>
              <w:rPr>
                <w:b/>
              </w:rPr>
              <w:t xml:space="preserve">2018 </w:t>
            </w:r>
          </w:p>
        </w:tc>
        <w:tc>
          <w:tcPr>
            <w:tcW w:w="1011" w:type="dxa"/>
            <w:tcBorders>
              <w:top w:val="single" w:sz="4" w:space="0" w:color="000000"/>
              <w:left w:val="nil"/>
              <w:bottom w:val="single" w:sz="4" w:space="0" w:color="000000"/>
              <w:right w:val="nil"/>
            </w:tcBorders>
          </w:tcPr>
          <w:p w:rsidR="00C25E94" w:rsidRDefault="00AA21AD">
            <w:pPr>
              <w:spacing w:after="0" w:line="259" w:lineRule="auto"/>
              <w:ind w:left="177" w:right="0" w:firstLine="0"/>
              <w:jc w:val="left"/>
            </w:pPr>
            <w:r>
              <w:rPr>
                <w:b/>
              </w:rPr>
              <w:t xml:space="preserve">2019 </w:t>
            </w:r>
          </w:p>
        </w:tc>
        <w:tc>
          <w:tcPr>
            <w:tcW w:w="1079" w:type="dxa"/>
            <w:tcBorders>
              <w:top w:val="single" w:sz="4" w:space="0" w:color="000000"/>
              <w:left w:val="nil"/>
              <w:bottom w:val="single" w:sz="4" w:space="0" w:color="000000"/>
              <w:right w:val="nil"/>
            </w:tcBorders>
          </w:tcPr>
          <w:p w:rsidR="00C25E94" w:rsidRDefault="00AA21AD">
            <w:pPr>
              <w:spacing w:after="0" w:line="259" w:lineRule="auto"/>
              <w:ind w:left="209" w:right="0" w:firstLine="0"/>
              <w:jc w:val="left"/>
            </w:pPr>
            <w:r>
              <w:rPr>
                <w:b/>
              </w:rPr>
              <w:t xml:space="preserve">2020 </w:t>
            </w:r>
          </w:p>
        </w:tc>
        <w:tc>
          <w:tcPr>
            <w:tcW w:w="2120" w:type="dxa"/>
            <w:tcBorders>
              <w:top w:val="single" w:sz="4" w:space="0" w:color="000000"/>
              <w:left w:val="nil"/>
              <w:bottom w:val="single" w:sz="4" w:space="0" w:color="000000"/>
              <w:right w:val="nil"/>
            </w:tcBorders>
          </w:tcPr>
          <w:p w:rsidR="00C25E94" w:rsidRDefault="00AA21AD">
            <w:pPr>
              <w:tabs>
                <w:tab w:val="center" w:pos="429"/>
                <w:tab w:val="center" w:pos="1472"/>
              </w:tabs>
              <w:spacing w:after="0" w:line="259" w:lineRule="auto"/>
              <w:ind w:left="0" w:right="0" w:firstLine="0"/>
              <w:jc w:val="left"/>
            </w:pPr>
            <w:r>
              <w:rPr>
                <w:rFonts w:ascii="Calibri" w:eastAsia="Calibri" w:hAnsi="Calibri" w:cs="Calibri"/>
              </w:rPr>
              <w:tab/>
            </w:r>
            <w:r>
              <w:rPr>
                <w:b/>
              </w:rPr>
              <w:t xml:space="preserve">2021 </w:t>
            </w:r>
            <w:r>
              <w:rPr>
                <w:b/>
              </w:rPr>
              <w:tab/>
              <w:t xml:space="preserve">2022 </w:t>
            </w:r>
          </w:p>
        </w:tc>
      </w:tr>
      <w:tr w:rsidR="00C25E94">
        <w:trPr>
          <w:trHeight w:val="282"/>
        </w:trPr>
        <w:tc>
          <w:tcPr>
            <w:tcW w:w="1131" w:type="dxa"/>
            <w:tcBorders>
              <w:top w:val="single" w:sz="4" w:space="0" w:color="000000"/>
              <w:left w:val="nil"/>
              <w:bottom w:val="nil"/>
              <w:right w:val="nil"/>
            </w:tcBorders>
          </w:tcPr>
          <w:p w:rsidR="00C25E94" w:rsidRDefault="00AA21AD">
            <w:pPr>
              <w:spacing w:after="0" w:line="259" w:lineRule="auto"/>
              <w:ind w:left="127" w:right="0" w:firstLine="0"/>
              <w:jc w:val="left"/>
            </w:pPr>
            <w:r>
              <w:t xml:space="preserve">$40,000 </w:t>
            </w:r>
          </w:p>
        </w:tc>
        <w:tc>
          <w:tcPr>
            <w:tcW w:w="1008" w:type="dxa"/>
            <w:tcBorders>
              <w:top w:val="single" w:sz="4" w:space="0" w:color="000000"/>
              <w:left w:val="nil"/>
              <w:bottom w:val="nil"/>
              <w:right w:val="nil"/>
            </w:tcBorders>
          </w:tcPr>
          <w:p w:rsidR="00C25E94" w:rsidRDefault="00AA21AD">
            <w:pPr>
              <w:spacing w:after="0" w:line="259" w:lineRule="auto"/>
              <w:ind w:left="4" w:right="0" w:firstLine="0"/>
              <w:jc w:val="left"/>
            </w:pPr>
            <w:r>
              <w:t xml:space="preserve">$64,000 </w:t>
            </w:r>
          </w:p>
        </w:tc>
        <w:tc>
          <w:tcPr>
            <w:tcW w:w="1011" w:type="dxa"/>
            <w:tcBorders>
              <w:top w:val="single" w:sz="4" w:space="0" w:color="000000"/>
              <w:left w:val="nil"/>
              <w:bottom w:val="nil"/>
              <w:right w:val="nil"/>
            </w:tcBorders>
          </w:tcPr>
          <w:p w:rsidR="00C25E94" w:rsidRDefault="00AA21AD">
            <w:pPr>
              <w:spacing w:after="0" w:line="259" w:lineRule="auto"/>
              <w:ind w:left="3" w:right="0" w:firstLine="0"/>
              <w:jc w:val="left"/>
            </w:pPr>
            <w:r>
              <w:t xml:space="preserve">$38,400 </w:t>
            </w:r>
          </w:p>
        </w:tc>
        <w:tc>
          <w:tcPr>
            <w:tcW w:w="1079" w:type="dxa"/>
            <w:tcBorders>
              <w:top w:val="single" w:sz="4" w:space="0" w:color="000000"/>
              <w:left w:val="nil"/>
              <w:bottom w:val="nil"/>
              <w:right w:val="nil"/>
            </w:tcBorders>
          </w:tcPr>
          <w:p w:rsidR="00C25E94" w:rsidRDefault="00AA21AD">
            <w:pPr>
              <w:spacing w:after="0" w:line="259" w:lineRule="auto"/>
              <w:ind w:left="74" w:right="0" w:firstLine="0"/>
              <w:jc w:val="left"/>
            </w:pPr>
            <w:r>
              <w:t xml:space="preserve">$23,040 </w:t>
            </w:r>
          </w:p>
        </w:tc>
        <w:tc>
          <w:tcPr>
            <w:tcW w:w="2120" w:type="dxa"/>
            <w:tcBorders>
              <w:top w:val="single" w:sz="4" w:space="0" w:color="000000"/>
              <w:left w:val="nil"/>
              <w:bottom w:val="nil"/>
              <w:right w:val="nil"/>
            </w:tcBorders>
          </w:tcPr>
          <w:p w:rsidR="00C25E94" w:rsidRDefault="00AA21AD">
            <w:pPr>
              <w:tabs>
                <w:tab w:val="center" w:pos="1464"/>
              </w:tabs>
              <w:spacing w:after="0" w:line="259" w:lineRule="auto"/>
              <w:ind w:left="0" w:right="0" w:firstLine="0"/>
              <w:jc w:val="left"/>
            </w:pPr>
            <w:r>
              <w:t xml:space="preserve"> $23,040 </w:t>
            </w:r>
            <w:r>
              <w:tab/>
              <w:t xml:space="preserve">$11,520 </w:t>
            </w:r>
          </w:p>
        </w:tc>
      </w:tr>
      <w:tr w:rsidR="00C25E94">
        <w:trPr>
          <w:trHeight w:val="253"/>
        </w:trPr>
        <w:tc>
          <w:tcPr>
            <w:tcW w:w="1131" w:type="dxa"/>
            <w:tcBorders>
              <w:top w:val="nil"/>
              <w:left w:val="nil"/>
              <w:bottom w:val="nil"/>
              <w:right w:val="nil"/>
            </w:tcBorders>
          </w:tcPr>
          <w:p w:rsidR="00C25E94" w:rsidRDefault="00AA21AD">
            <w:pPr>
              <w:spacing w:after="0" w:line="259" w:lineRule="auto"/>
              <w:ind w:left="125" w:right="0" w:firstLine="0"/>
              <w:jc w:val="left"/>
            </w:pPr>
            <w:r>
              <w:t xml:space="preserve">$30,000 </w:t>
            </w:r>
          </w:p>
        </w:tc>
        <w:tc>
          <w:tcPr>
            <w:tcW w:w="1008" w:type="dxa"/>
            <w:tcBorders>
              <w:top w:val="nil"/>
              <w:left w:val="nil"/>
              <w:bottom w:val="nil"/>
              <w:right w:val="nil"/>
            </w:tcBorders>
          </w:tcPr>
          <w:p w:rsidR="00C25E94" w:rsidRDefault="00AA21AD">
            <w:pPr>
              <w:spacing w:after="0" w:line="259" w:lineRule="auto"/>
              <w:ind w:left="2" w:right="0" w:firstLine="0"/>
              <w:jc w:val="left"/>
            </w:pPr>
            <w:r>
              <w:t xml:space="preserve">$51,000 </w:t>
            </w:r>
          </w:p>
        </w:tc>
        <w:tc>
          <w:tcPr>
            <w:tcW w:w="1011" w:type="dxa"/>
            <w:tcBorders>
              <w:top w:val="nil"/>
              <w:left w:val="nil"/>
              <w:bottom w:val="nil"/>
              <w:right w:val="nil"/>
            </w:tcBorders>
          </w:tcPr>
          <w:p w:rsidR="00C25E94" w:rsidRDefault="00AA21AD">
            <w:pPr>
              <w:spacing w:after="0" w:line="259" w:lineRule="auto"/>
              <w:ind w:left="1" w:right="0" w:firstLine="0"/>
              <w:jc w:val="left"/>
            </w:pPr>
            <w:r>
              <w:t xml:space="preserve">$35,700 </w:t>
            </w:r>
          </w:p>
        </w:tc>
        <w:tc>
          <w:tcPr>
            <w:tcW w:w="1079" w:type="dxa"/>
            <w:tcBorders>
              <w:top w:val="nil"/>
              <w:left w:val="nil"/>
              <w:bottom w:val="nil"/>
              <w:right w:val="nil"/>
            </w:tcBorders>
          </w:tcPr>
          <w:p w:rsidR="00C25E94" w:rsidRDefault="00AA21AD">
            <w:pPr>
              <w:spacing w:after="0" w:line="259" w:lineRule="auto"/>
              <w:ind w:left="72" w:right="0" w:firstLine="0"/>
              <w:jc w:val="left"/>
            </w:pPr>
            <w:r>
              <w:t xml:space="preserve">$33,320 </w:t>
            </w:r>
          </w:p>
        </w:tc>
        <w:tc>
          <w:tcPr>
            <w:tcW w:w="2120" w:type="dxa"/>
            <w:tcBorders>
              <w:top w:val="nil"/>
              <w:left w:val="nil"/>
              <w:bottom w:val="nil"/>
              <w:right w:val="nil"/>
            </w:tcBorders>
          </w:tcPr>
          <w:p w:rsidR="00C25E94" w:rsidRDefault="00AA21AD">
            <w:pPr>
              <w:tabs>
                <w:tab w:val="center" w:pos="1464"/>
              </w:tabs>
              <w:spacing w:after="0" w:line="259" w:lineRule="auto"/>
              <w:ind w:left="0" w:right="0" w:firstLine="0"/>
              <w:jc w:val="left"/>
            </w:pPr>
            <w:r>
              <w:t xml:space="preserve"> $33.320 </w:t>
            </w:r>
            <w:r>
              <w:tab/>
              <w:t xml:space="preserve">$16,660 </w:t>
            </w:r>
          </w:p>
        </w:tc>
      </w:tr>
      <w:tr w:rsidR="00C25E94">
        <w:trPr>
          <w:trHeight w:val="253"/>
        </w:trPr>
        <w:tc>
          <w:tcPr>
            <w:tcW w:w="1131" w:type="dxa"/>
            <w:tcBorders>
              <w:top w:val="nil"/>
              <w:left w:val="nil"/>
              <w:bottom w:val="nil"/>
              <w:right w:val="nil"/>
            </w:tcBorders>
          </w:tcPr>
          <w:p w:rsidR="00C25E94" w:rsidRDefault="00AA21AD">
            <w:pPr>
              <w:spacing w:after="0" w:line="259" w:lineRule="auto"/>
              <w:ind w:left="126" w:right="0" w:firstLine="0"/>
              <w:jc w:val="left"/>
            </w:pPr>
            <w:r>
              <w:t xml:space="preserve">$10,000 </w:t>
            </w:r>
          </w:p>
        </w:tc>
        <w:tc>
          <w:tcPr>
            <w:tcW w:w="1008" w:type="dxa"/>
            <w:tcBorders>
              <w:top w:val="nil"/>
              <w:left w:val="nil"/>
              <w:bottom w:val="nil"/>
              <w:right w:val="nil"/>
            </w:tcBorders>
          </w:tcPr>
          <w:p w:rsidR="00C25E94" w:rsidRDefault="00AA21AD">
            <w:pPr>
              <w:spacing w:after="0" w:line="259" w:lineRule="auto"/>
              <w:ind w:left="2" w:right="0" w:firstLine="0"/>
              <w:jc w:val="left"/>
            </w:pPr>
            <w:r>
              <w:t xml:space="preserve">$13,000 </w:t>
            </w:r>
          </w:p>
        </w:tc>
        <w:tc>
          <w:tcPr>
            <w:tcW w:w="1011" w:type="dxa"/>
            <w:tcBorders>
              <w:top w:val="nil"/>
              <w:left w:val="nil"/>
              <w:bottom w:val="nil"/>
              <w:right w:val="nil"/>
            </w:tcBorders>
          </w:tcPr>
          <w:p w:rsidR="00C25E94" w:rsidRDefault="00AA21AD">
            <w:pPr>
              <w:spacing w:after="0" w:line="259" w:lineRule="auto"/>
              <w:ind w:left="1" w:right="0" w:firstLine="0"/>
              <w:jc w:val="left"/>
            </w:pPr>
            <w:r>
              <w:t xml:space="preserve">$  2,700 </w:t>
            </w:r>
          </w:p>
        </w:tc>
        <w:tc>
          <w:tcPr>
            <w:tcW w:w="1079" w:type="dxa"/>
            <w:tcBorders>
              <w:top w:val="nil"/>
              <w:left w:val="nil"/>
              <w:bottom w:val="nil"/>
              <w:right w:val="nil"/>
            </w:tcBorders>
          </w:tcPr>
          <w:p w:rsidR="00C25E94" w:rsidRDefault="00AA21AD">
            <w:pPr>
              <w:spacing w:after="0" w:line="259" w:lineRule="auto"/>
              <w:ind w:left="0" w:right="0" w:firstLine="0"/>
              <w:jc w:val="left"/>
            </w:pPr>
            <w:r>
              <w:t>($10,280)</w:t>
            </w:r>
          </w:p>
        </w:tc>
        <w:tc>
          <w:tcPr>
            <w:tcW w:w="2120" w:type="dxa"/>
            <w:tcBorders>
              <w:top w:val="nil"/>
              <w:left w:val="nil"/>
              <w:bottom w:val="nil"/>
              <w:right w:val="nil"/>
            </w:tcBorders>
          </w:tcPr>
          <w:p w:rsidR="00C25E94" w:rsidRDefault="00AA21AD">
            <w:pPr>
              <w:spacing w:after="0" w:line="259" w:lineRule="auto"/>
              <w:ind w:left="0" w:right="0" w:firstLine="0"/>
              <w:jc w:val="left"/>
            </w:pPr>
            <w:r>
              <w:t xml:space="preserve">($10,280) ($ 5,140) </w:t>
            </w:r>
          </w:p>
        </w:tc>
      </w:tr>
      <w:tr w:rsidR="00C25E94">
        <w:trPr>
          <w:trHeight w:val="234"/>
        </w:trPr>
        <w:tc>
          <w:tcPr>
            <w:tcW w:w="1131" w:type="dxa"/>
            <w:tcBorders>
              <w:top w:val="nil"/>
              <w:left w:val="nil"/>
              <w:bottom w:val="single" w:sz="4" w:space="0" w:color="000000"/>
              <w:right w:val="nil"/>
            </w:tcBorders>
          </w:tcPr>
          <w:p w:rsidR="00C25E94" w:rsidRDefault="00AA21AD">
            <w:pPr>
              <w:spacing w:after="0" w:line="259" w:lineRule="auto"/>
              <w:ind w:left="122" w:right="0" w:firstLine="0"/>
              <w:jc w:val="left"/>
            </w:pPr>
            <w:r>
              <w:t xml:space="preserve">Positive </w:t>
            </w:r>
          </w:p>
        </w:tc>
        <w:tc>
          <w:tcPr>
            <w:tcW w:w="1008" w:type="dxa"/>
            <w:tcBorders>
              <w:top w:val="nil"/>
              <w:left w:val="nil"/>
              <w:bottom w:val="single" w:sz="4" w:space="0" w:color="000000"/>
              <w:right w:val="nil"/>
            </w:tcBorders>
          </w:tcPr>
          <w:p w:rsidR="00C25E94" w:rsidRDefault="00AA21AD">
            <w:pPr>
              <w:spacing w:after="0" w:line="259" w:lineRule="auto"/>
              <w:ind w:left="0" w:right="0" w:firstLine="0"/>
              <w:jc w:val="left"/>
            </w:pPr>
            <w:r>
              <w:t xml:space="preserve">Positive </w:t>
            </w:r>
          </w:p>
        </w:tc>
        <w:tc>
          <w:tcPr>
            <w:tcW w:w="1011" w:type="dxa"/>
            <w:tcBorders>
              <w:top w:val="nil"/>
              <w:left w:val="nil"/>
              <w:bottom w:val="single" w:sz="4" w:space="0" w:color="000000"/>
              <w:right w:val="nil"/>
            </w:tcBorders>
          </w:tcPr>
          <w:p w:rsidR="00C25E94" w:rsidRDefault="00AA21AD">
            <w:pPr>
              <w:spacing w:after="0" w:line="259" w:lineRule="auto"/>
              <w:ind w:left="0" w:right="0" w:firstLine="0"/>
              <w:jc w:val="left"/>
            </w:pPr>
            <w:r>
              <w:t xml:space="preserve">Positive </w:t>
            </w:r>
          </w:p>
        </w:tc>
        <w:tc>
          <w:tcPr>
            <w:tcW w:w="1079" w:type="dxa"/>
            <w:tcBorders>
              <w:top w:val="nil"/>
              <w:left w:val="nil"/>
              <w:bottom w:val="single" w:sz="4" w:space="0" w:color="000000"/>
              <w:right w:val="nil"/>
            </w:tcBorders>
          </w:tcPr>
          <w:p w:rsidR="00C25E94" w:rsidRDefault="00AA21AD">
            <w:pPr>
              <w:spacing w:after="0" w:line="259" w:lineRule="auto"/>
              <w:ind w:left="0" w:right="0" w:firstLine="0"/>
              <w:jc w:val="left"/>
            </w:pPr>
            <w:r>
              <w:t xml:space="preserve">Negative </w:t>
            </w:r>
          </w:p>
        </w:tc>
        <w:tc>
          <w:tcPr>
            <w:tcW w:w="2120" w:type="dxa"/>
            <w:tcBorders>
              <w:top w:val="nil"/>
              <w:left w:val="nil"/>
              <w:bottom w:val="single" w:sz="4" w:space="0" w:color="000000"/>
              <w:right w:val="nil"/>
            </w:tcBorders>
          </w:tcPr>
          <w:p w:rsidR="00C25E94" w:rsidRDefault="00AA21AD">
            <w:pPr>
              <w:tabs>
                <w:tab w:val="right" w:pos="2005"/>
              </w:tabs>
              <w:spacing w:after="0" w:line="259" w:lineRule="auto"/>
              <w:ind w:left="0" w:right="0" w:firstLine="0"/>
              <w:jc w:val="left"/>
            </w:pPr>
            <w:r>
              <w:t xml:space="preserve">Negative </w:t>
            </w:r>
            <w:r>
              <w:tab/>
              <w:t xml:space="preserve">Negative </w:t>
            </w:r>
          </w:p>
        </w:tc>
      </w:tr>
    </w:tbl>
    <w:p w:rsidR="00C25E94" w:rsidRDefault="00AA21AD">
      <w:pPr>
        <w:spacing w:after="48" w:line="259" w:lineRule="auto"/>
        <w:ind w:left="828" w:right="273" w:firstLine="0"/>
        <w:jc w:val="left"/>
      </w:pPr>
      <w:r>
        <w:t xml:space="preserve"> </w:t>
      </w:r>
    </w:p>
    <w:p w:rsidR="00C25E94" w:rsidRDefault="00AA21AD">
      <w:pPr>
        <w:ind w:left="830" w:right="273"/>
      </w:pPr>
      <w:r>
        <w:t xml:space="preserve">Regular tax deduction </w:t>
      </w:r>
    </w:p>
    <w:p w:rsidR="00C25E94" w:rsidRDefault="00AA21AD">
      <w:pPr>
        <w:ind w:left="830" w:right="273"/>
      </w:pPr>
      <w:r>
        <w:t xml:space="preserve">AMT deduction  </w:t>
      </w:r>
    </w:p>
    <w:p w:rsidR="00C25E94" w:rsidRDefault="00AA21AD">
      <w:pPr>
        <w:ind w:left="830" w:right="273"/>
      </w:pPr>
      <w:r>
        <w:t xml:space="preserve">AMT adjustment </w:t>
      </w:r>
    </w:p>
    <w:p w:rsidR="00C25E94" w:rsidRDefault="00AA21AD">
      <w:pPr>
        <w:spacing w:after="0" w:line="259" w:lineRule="auto"/>
        <w:ind w:left="828" w:right="273" w:firstLine="0"/>
        <w:jc w:val="left"/>
      </w:pPr>
      <w:r>
        <w:t xml:space="preserve"> </w:t>
      </w:r>
    </w:p>
    <w:p w:rsidR="00C25E94" w:rsidRDefault="00AA21AD">
      <w:pPr>
        <w:spacing w:after="0" w:line="259" w:lineRule="auto"/>
        <w:ind w:left="720" w:right="0" w:firstLine="0"/>
        <w:jc w:val="left"/>
      </w:pPr>
      <w:r>
        <w:t xml:space="preserve"> </w:t>
      </w:r>
    </w:p>
    <w:p w:rsidR="00C25E94" w:rsidRDefault="00AA21AD">
      <w:pPr>
        <w:numPr>
          <w:ilvl w:val="0"/>
          <w:numId w:val="10"/>
        </w:numPr>
        <w:ind w:right="43" w:hanging="720"/>
      </w:pPr>
      <w:r>
        <w:t>(LO 7, 8) The interest received from the private activity bond (tax-exempt for regular tax purposes) is an AMT tax preference. In addition, the non-deductible interest expense can be used to reduce the AMT preference. As a result, the AMT preference is $</w:t>
      </w:r>
      <w:r>
        <w:t xml:space="preserve">123,207 ($135,237 </w:t>
      </w:r>
      <w:r>
        <w:rPr>
          <w:rFonts w:ascii="Segoe UI Symbol" w:eastAsia="Segoe UI Symbol" w:hAnsi="Segoe UI Symbol" w:cs="Segoe UI Symbol"/>
        </w:rPr>
        <w:t>−</w:t>
      </w:r>
      <w:r>
        <w:t xml:space="preserve"> $12,030). </w:t>
      </w:r>
    </w:p>
    <w:p w:rsidR="00C25E94" w:rsidRDefault="00AA21AD">
      <w:pPr>
        <w:spacing w:after="4" w:line="259" w:lineRule="auto"/>
        <w:ind w:left="0" w:right="0" w:firstLine="0"/>
        <w:jc w:val="left"/>
      </w:pPr>
      <w:r>
        <w:t xml:space="preserve"> </w:t>
      </w:r>
    </w:p>
    <w:p w:rsidR="00C25E94" w:rsidRDefault="00AA21AD">
      <w:pPr>
        <w:numPr>
          <w:ilvl w:val="0"/>
          <w:numId w:val="10"/>
        </w:numPr>
        <w:ind w:right="43" w:hanging="720"/>
      </w:pPr>
      <w:r>
        <w:lastRenderedPageBreak/>
        <w:t xml:space="preserve">(LO 7, 8) </w:t>
      </w:r>
    </w:p>
    <w:p w:rsidR="00C25E94" w:rsidRDefault="00AA21AD">
      <w:pPr>
        <w:ind w:left="722" w:right="1761"/>
      </w:pPr>
      <w:r>
        <w:t xml:space="preserve">Taxable income                                </w:t>
      </w:r>
      <w:r>
        <w:tab/>
        <w:t xml:space="preserve"> </w:t>
      </w:r>
      <w:r>
        <w:tab/>
        <w:t xml:space="preserve"> </w:t>
      </w:r>
      <w:r>
        <w:tab/>
        <w:t xml:space="preserve"> </w:t>
      </w:r>
      <w:r>
        <w:tab/>
        <w:t xml:space="preserve">$6,255,012 AMT Adjustments: </w:t>
      </w:r>
    </w:p>
    <w:p w:rsidR="00C25E94" w:rsidRDefault="00AA21AD">
      <w:pPr>
        <w:numPr>
          <w:ilvl w:val="1"/>
          <w:numId w:val="11"/>
        </w:numPr>
        <w:ind w:right="43" w:hanging="367"/>
      </w:pPr>
      <w:r>
        <w:t xml:space="preserve">Adjusted gain (loss) on property dispositions </w:t>
      </w:r>
      <w:r>
        <w:tab/>
        <w:t xml:space="preserve"> </w:t>
      </w:r>
      <w:r>
        <w:tab/>
        <w:t xml:space="preserve">    (127,055) </w:t>
      </w:r>
    </w:p>
    <w:p w:rsidR="00C25E94" w:rsidRDefault="00AA21AD">
      <w:pPr>
        <w:numPr>
          <w:ilvl w:val="1"/>
          <w:numId w:val="11"/>
        </w:numPr>
        <w:ind w:right="43" w:hanging="367"/>
      </w:pPr>
      <w:r>
        <w:t xml:space="preserve">Depreciation </w:t>
      </w:r>
      <w:r>
        <w:tab/>
        <w:t xml:space="preserve"> </w:t>
      </w:r>
      <w:r>
        <w:tab/>
        <w:t xml:space="preserve"> </w:t>
      </w:r>
      <w:r>
        <w:tab/>
        <w:t xml:space="preserve"> </w:t>
      </w:r>
      <w:r>
        <w:tab/>
        <w:t xml:space="preserve"> </w:t>
      </w:r>
      <w:r>
        <w:tab/>
        <w:t xml:space="preserve"> </w:t>
      </w:r>
      <w:r>
        <w:tab/>
        <w:t xml:space="preserve">     280,347 </w:t>
      </w:r>
    </w:p>
    <w:p w:rsidR="00C25E94" w:rsidRDefault="00AA21AD">
      <w:pPr>
        <w:numPr>
          <w:ilvl w:val="1"/>
          <w:numId w:val="11"/>
        </w:numPr>
        <w:ind w:right="43" w:hanging="367"/>
      </w:pPr>
      <w:r>
        <w:t xml:space="preserve">Certified pollution control </w:t>
      </w:r>
      <w:r>
        <w:t xml:space="preserve">facility </w:t>
      </w:r>
      <w:r>
        <w:tab/>
        <w:t xml:space="preserve"> </w:t>
      </w:r>
      <w:r>
        <w:tab/>
        <w:t xml:space="preserve"> </w:t>
      </w:r>
      <w:r>
        <w:tab/>
        <w:t xml:space="preserve"> </w:t>
      </w:r>
      <w:r>
        <w:tab/>
        <w:t xml:space="preserve">      (42,666) </w:t>
      </w:r>
    </w:p>
    <w:p w:rsidR="00C25E94" w:rsidRDefault="00AA21AD">
      <w:pPr>
        <w:numPr>
          <w:ilvl w:val="1"/>
          <w:numId w:val="11"/>
        </w:numPr>
        <w:ind w:right="43" w:hanging="367"/>
      </w:pPr>
      <w:r>
        <w:t>Long-term contracts</w:t>
      </w:r>
      <w:r>
        <w:tab/>
        <w:t xml:space="preserve"> </w:t>
      </w:r>
      <w:r>
        <w:tab/>
        <w:t xml:space="preserve"> </w:t>
      </w:r>
      <w:r>
        <w:tab/>
        <w:t xml:space="preserve"> </w:t>
      </w:r>
      <w:r>
        <w:tab/>
        <w:t xml:space="preserve"> </w:t>
      </w:r>
      <w:r>
        <w:tab/>
        <w:t xml:space="preserve">     180,000 </w:t>
      </w:r>
    </w:p>
    <w:p w:rsidR="00C25E94" w:rsidRDefault="00AA21AD">
      <w:pPr>
        <w:spacing w:after="11" w:line="259" w:lineRule="auto"/>
        <w:ind w:left="0" w:right="0" w:firstLine="0"/>
        <w:jc w:val="left"/>
      </w:pPr>
      <w:r>
        <w:t xml:space="preserve"> </w:t>
      </w:r>
      <w:r>
        <w:tab/>
        <w:t xml:space="preserve"> </w:t>
      </w:r>
      <w:r>
        <w:tab/>
        <w:t xml:space="preserve"> </w:t>
      </w:r>
    </w:p>
    <w:p w:rsidR="00C25E94" w:rsidRDefault="00AA21AD">
      <w:pPr>
        <w:tabs>
          <w:tab w:val="center" w:pos="1263"/>
        </w:tabs>
        <w:ind w:left="-15" w:right="0" w:firstLine="0"/>
        <w:jc w:val="left"/>
      </w:pPr>
      <w:r>
        <w:t xml:space="preserve"> </w:t>
      </w:r>
      <w:r>
        <w:tab/>
        <w:t xml:space="preserve">Preferences: </w:t>
      </w:r>
    </w:p>
    <w:p w:rsidR="00C25E94" w:rsidRDefault="00AA21AD">
      <w:pPr>
        <w:tabs>
          <w:tab w:val="center" w:pos="2841"/>
          <w:tab w:val="center" w:pos="5761"/>
          <w:tab w:val="center" w:pos="6976"/>
        </w:tabs>
        <w:ind w:left="0" w:right="0" w:firstLine="0"/>
        <w:jc w:val="left"/>
      </w:pPr>
      <w:r>
        <w:rPr>
          <w:rFonts w:ascii="Calibri" w:eastAsia="Calibri" w:hAnsi="Calibri" w:cs="Calibri"/>
        </w:rPr>
        <w:tab/>
      </w:r>
      <w:r>
        <w:t xml:space="preserve">(1)  Tax-exempt interest (private activity bonds)   </w:t>
      </w:r>
      <w:r>
        <w:tab/>
        <w:t xml:space="preserve"> </w:t>
      </w:r>
      <w:r>
        <w:tab/>
      </w:r>
      <w:r>
        <w:rPr>
          <w:u w:val="single" w:color="000000"/>
        </w:rPr>
        <w:t xml:space="preserve">       27,625</w:t>
      </w:r>
      <w:r>
        <w:t xml:space="preserve"> </w:t>
      </w:r>
    </w:p>
    <w:p w:rsidR="00C25E94" w:rsidRDefault="00AA21AD">
      <w:pPr>
        <w:tabs>
          <w:tab w:val="center" w:pos="2277"/>
          <w:tab w:val="center" w:pos="5762"/>
          <w:tab w:val="center" w:pos="6977"/>
        </w:tabs>
        <w:ind w:left="0" w:right="0" w:firstLine="0"/>
        <w:jc w:val="left"/>
      </w:pPr>
      <w:r>
        <w:rPr>
          <w:rFonts w:ascii="Calibri" w:eastAsia="Calibri" w:hAnsi="Calibri" w:cs="Calibri"/>
        </w:rPr>
        <w:tab/>
      </w:r>
      <w:r>
        <w:t xml:space="preserve">AMTI before ACE                                      </w:t>
      </w:r>
      <w:r>
        <w:tab/>
        <w:t xml:space="preserve"> </w:t>
      </w:r>
      <w:r>
        <w:tab/>
        <w:t xml:space="preserve">$6,573,263 </w:t>
      </w:r>
    </w:p>
    <w:p w:rsidR="00C25E94" w:rsidRDefault="00AA21AD">
      <w:pPr>
        <w:spacing w:after="0" w:line="259" w:lineRule="auto"/>
        <w:ind w:left="720" w:right="0" w:firstLine="0"/>
        <w:jc w:val="left"/>
      </w:pPr>
      <w:r>
        <w:t xml:space="preserve"> </w:t>
      </w:r>
    </w:p>
    <w:p w:rsidR="00C25E94" w:rsidRDefault="00AA21AD">
      <w:pPr>
        <w:ind w:left="722" w:right="43"/>
      </w:pPr>
      <w:r>
        <w:t xml:space="preserve">ACE Adjustment: </w:t>
      </w:r>
    </w:p>
    <w:p w:rsidR="00C25E94" w:rsidRDefault="00AA21AD">
      <w:pPr>
        <w:tabs>
          <w:tab w:val="center" w:pos="720"/>
          <w:tab w:val="center" w:pos="1660"/>
          <w:tab w:val="center" w:pos="2161"/>
          <w:tab w:val="center" w:pos="2881"/>
          <w:tab w:val="center" w:pos="3601"/>
          <w:tab w:val="center" w:pos="4321"/>
          <w:tab w:val="center" w:pos="5536"/>
        </w:tabs>
        <w:ind w:left="0" w:right="0" w:firstLine="0"/>
        <w:jc w:val="left"/>
      </w:pPr>
      <w:r>
        <w:rPr>
          <w:rFonts w:ascii="Calibri" w:eastAsia="Calibri" w:hAnsi="Calibri" w:cs="Calibri"/>
        </w:rPr>
        <w:tab/>
      </w:r>
      <w:r>
        <w:t xml:space="preserve"> </w:t>
      </w:r>
      <w:r>
        <w:tab/>
        <w:t xml:space="preserve">ACE </w:t>
      </w:r>
      <w:r>
        <w:tab/>
        <w:t xml:space="preserve"> </w:t>
      </w:r>
      <w:r>
        <w:tab/>
        <w:t xml:space="preserve"> </w:t>
      </w:r>
      <w:r>
        <w:tab/>
        <w:t xml:space="preserve"> </w:t>
      </w:r>
      <w:r>
        <w:tab/>
        <w:t xml:space="preserve"> </w:t>
      </w:r>
      <w:r>
        <w:tab/>
        <w:t xml:space="preserve">$8,224,545 </w:t>
      </w:r>
    </w:p>
    <w:p w:rsidR="00C25E94" w:rsidRDefault="00AA21AD">
      <w:pPr>
        <w:tabs>
          <w:tab w:val="center" w:pos="720"/>
          <w:tab w:val="center" w:pos="2536"/>
          <w:tab w:val="center" w:pos="4321"/>
          <w:tab w:val="center" w:pos="5581"/>
        </w:tabs>
        <w:ind w:left="0" w:right="0" w:firstLine="0"/>
        <w:jc w:val="left"/>
      </w:pPr>
      <w:r>
        <w:rPr>
          <w:rFonts w:ascii="Calibri" w:eastAsia="Calibri" w:hAnsi="Calibri" w:cs="Calibri"/>
        </w:rPr>
        <w:tab/>
      </w:r>
      <w:r>
        <w:t xml:space="preserve"> </w:t>
      </w:r>
      <w:r>
        <w:tab/>
        <w:t xml:space="preserve">Less: AMTI before ACE </w:t>
      </w:r>
      <w:r>
        <w:tab/>
        <w:t xml:space="preserve"> </w:t>
      </w:r>
      <w:r>
        <w:tab/>
      </w:r>
      <w:r>
        <w:rPr>
          <w:u w:val="single" w:color="000000"/>
        </w:rPr>
        <w:t xml:space="preserve"> (6,573,263</w:t>
      </w:r>
      <w:r>
        <w:t xml:space="preserve">) </w:t>
      </w:r>
    </w:p>
    <w:p w:rsidR="00C25E94" w:rsidRDefault="00AA21AD">
      <w:pPr>
        <w:tabs>
          <w:tab w:val="center" w:pos="720"/>
          <w:tab w:val="center" w:pos="1440"/>
          <w:tab w:val="center" w:pos="2160"/>
          <w:tab w:val="center" w:pos="2880"/>
          <w:tab w:val="center" w:pos="3600"/>
          <w:tab w:val="center" w:pos="4320"/>
          <w:tab w:val="center" w:pos="5535"/>
        </w:tabs>
        <w:ind w:left="0" w:right="0" w:firstLine="0"/>
        <w:jc w:val="left"/>
      </w:pPr>
      <w:r>
        <w:rPr>
          <w:rFonts w:ascii="Calibri" w:eastAsia="Calibri" w:hAnsi="Calibri" w:cs="Calibri"/>
        </w:rPr>
        <w:tab/>
      </w:r>
      <w:r>
        <w:t xml:space="preserve"> </w:t>
      </w:r>
      <w:r>
        <w:tab/>
        <w:t xml:space="preserve"> </w:t>
      </w:r>
      <w:r>
        <w:tab/>
        <w:t xml:space="preserve"> </w:t>
      </w:r>
      <w:r>
        <w:tab/>
        <w:t xml:space="preserve"> </w:t>
      </w:r>
      <w:r>
        <w:tab/>
        <w:t xml:space="preserve"> </w:t>
      </w:r>
      <w:r>
        <w:tab/>
        <w:t xml:space="preserve"> </w:t>
      </w:r>
      <w:r>
        <w:tab/>
        <w:t xml:space="preserve">$1,651,282 </w:t>
      </w:r>
    </w:p>
    <w:p w:rsidR="00C25E94" w:rsidRDefault="00AA21AD">
      <w:pPr>
        <w:tabs>
          <w:tab w:val="center" w:pos="720"/>
          <w:tab w:val="center" w:pos="1440"/>
          <w:tab w:val="center" w:pos="2160"/>
          <w:tab w:val="center" w:pos="2880"/>
          <w:tab w:val="center" w:pos="3600"/>
          <w:tab w:val="center" w:pos="4320"/>
          <w:tab w:val="center" w:pos="5524"/>
        </w:tabs>
        <w:spacing w:after="0" w:line="259" w:lineRule="auto"/>
        <w:ind w:left="0" w:right="0" w:firstLine="0"/>
        <w:jc w:val="left"/>
      </w:pPr>
      <w:r>
        <w:rPr>
          <w:rFonts w:ascii="Calibri" w:eastAsia="Calibri" w:hAnsi="Calibri" w:cs="Calibri"/>
        </w:rPr>
        <w:tab/>
      </w:r>
      <w:r>
        <w:t xml:space="preserve"> </w:t>
      </w:r>
      <w:r>
        <w:tab/>
        <w:t xml:space="preserve"> </w:t>
      </w:r>
      <w:r>
        <w:tab/>
        <w:t xml:space="preserve"> </w:t>
      </w:r>
      <w:r>
        <w:tab/>
        <w:t xml:space="preserve"> </w:t>
      </w:r>
      <w:r>
        <w:tab/>
        <w:t xml:space="preserve"> </w:t>
      </w:r>
      <w:r>
        <w:tab/>
        <w:t xml:space="preserve"> </w:t>
      </w:r>
      <w:r>
        <w:tab/>
      </w:r>
      <w:r>
        <w:rPr>
          <w:u w:val="single" w:color="000000"/>
        </w:rPr>
        <w:t>×        75%</w:t>
      </w:r>
      <w:r>
        <w:t xml:space="preserve"> </w:t>
      </w:r>
    </w:p>
    <w:p w:rsidR="00C25E94" w:rsidRDefault="00AA21AD">
      <w:pPr>
        <w:tabs>
          <w:tab w:val="center" w:pos="2171"/>
          <w:tab w:val="center" w:pos="5761"/>
          <w:tab w:val="center" w:pos="6977"/>
        </w:tabs>
        <w:ind w:left="0" w:right="0" w:firstLine="0"/>
        <w:jc w:val="left"/>
      </w:pPr>
      <w:r>
        <w:rPr>
          <w:rFonts w:ascii="Calibri" w:eastAsia="Calibri" w:hAnsi="Calibri" w:cs="Calibri"/>
        </w:rPr>
        <w:tab/>
      </w:r>
      <w:r>
        <w:t xml:space="preserve">ACE adjustment                                         </w:t>
      </w:r>
      <w:r>
        <w:tab/>
        <w:t xml:space="preserve"> </w:t>
      </w:r>
      <w:r>
        <w:tab/>
      </w:r>
      <w:r>
        <w:rPr>
          <w:u w:val="single" w:color="000000"/>
        </w:rPr>
        <w:t xml:space="preserve">  1,238,462</w:t>
      </w:r>
      <w:r>
        <w:t xml:space="preserve"> </w:t>
      </w:r>
    </w:p>
    <w:p w:rsidR="00C25E94" w:rsidRDefault="00AA21AD">
      <w:pPr>
        <w:tabs>
          <w:tab w:val="center" w:pos="1187"/>
          <w:tab w:val="center" w:pos="2160"/>
          <w:tab w:val="center" w:pos="2880"/>
          <w:tab w:val="center" w:pos="3600"/>
          <w:tab w:val="center" w:pos="4320"/>
          <w:tab w:val="center" w:pos="5040"/>
          <w:tab w:val="center" w:pos="5760"/>
          <w:tab w:val="center" w:pos="6975"/>
        </w:tabs>
        <w:ind w:left="-15" w:right="0" w:firstLine="0"/>
        <w:jc w:val="left"/>
      </w:pPr>
      <w:r>
        <w:t xml:space="preserve"> </w:t>
      </w:r>
      <w:r>
        <w:tab/>
        <w:t xml:space="preserve">AMT base </w:t>
      </w:r>
      <w:r>
        <w:tab/>
        <w:t xml:space="preserve"> </w:t>
      </w:r>
      <w:r>
        <w:tab/>
        <w:t xml:space="preserve"> </w:t>
      </w:r>
      <w:r>
        <w:tab/>
        <w:t xml:space="preserve"> </w:t>
      </w:r>
      <w:r>
        <w:tab/>
        <w:t xml:space="preserve"> </w:t>
      </w:r>
      <w:r>
        <w:tab/>
        <w:t xml:space="preserve"> </w:t>
      </w:r>
      <w:r>
        <w:tab/>
        <w:t xml:space="preserve"> </w:t>
      </w:r>
      <w:r>
        <w:tab/>
        <w:t xml:space="preserve">$7,811,725 </w:t>
      </w:r>
    </w:p>
    <w:p w:rsidR="00C25E94" w:rsidRDefault="00AA21AD">
      <w:pPr>
        <w:tabs>
          <w:tab w:val="center" w:pos="1157"/>
          <w:tab w:val="center" w:pos="2160"/>
          <w:tab w:val="center" w:pos="2880"/>
          <w:tab w:val="center" w:pos="3600"/>
          <w:tab w:val="center" w:pos="4320"/>
          <w:tab w:val="center" w:pos="5040"/>
          <w:tab w:val="center" w:pos="5760"/>
          <w:tab w:val="center" w:pos="6991"/>
        </w:tabs>
        <w:spacing w:after="0" w:line="259" w:lineRule="auto"/>
        <w:ind w:left="-15" w:right="0" w:firstLine="0"/>
        <w:jc w:val="left"/>
      </w:pPr>
      <w:r>
        <w:t xml:space="preserve"> </w:t>
      </w:r>
      <w:r>
        <w:tab/>
        <w:t xml:space="preserve">AMT rate </w:t>
      </w:r>
      <w:r>
        <w:tab/>
        <w:t xml:space="preserve"> </w:t>
      </w:r>
      <w:r>
        <w:tab/>
        <w:t xml:space="preserve"> </w:t>
      </w:r>
      <w:r>
        <w:tab/>
        <w:t xml:space="preserve"> </w:t>
      </w:r>
      <w:r>
        <w:tab/>
        <w:t xml:space="preserve"> </w:t>
      </w:r>
      <w:r>
        <w:tab/>
        <w:t xml:space="preserve"> </w:t>
      </w:r>
      <w:r>
        <w:tab/>
        <w:t xml:space="preserve"> </w:t>
      </w:r>
      <w:r>
        <w:tab/>
      </w:r>
      <w:r>
        <w:rPr>
          <w:u w:val="single" w:color="000000"/>
        </w:rPr>
        <w:t>×         20%</w:t>
      </w:r>
      <w:r>
        <w:t xml:space="preserve"> </w:t>
      </w:r>
    </w:p>
    <w:p w:rsidR="00C25E94" w:rsidRDefault="00AA21AD">
      <w:pPr>
        <w:tabs>
          <w:tab w:val="center" w:pos="720"/>
          <w:tab w:val="center" w:pos="2472"/>
          <w:tab w:val="center" w:pos="4321"/>
          <w:tab w:val="center" w:pos="5041"/>
          <w:tab w:val="center" w:pos="5761"/>
          <w:tab w:val="center" w:pos="6976"/>
        </w:tabs>
        <w:ind w:left="-15" w:right="0" w:firstLine="0"/>
        <w:jc w:val="left"/>
      </w:pPr>
      <w:r>
        <w:t xml:space="preserve"> </w:t>
      </w:r>
      <w:r>
        <w:tab/>
        <w:t xml:space="preserve"> </w:t>
      </w:r>
      <w:r>
        <w:tab/>
        <w:t xml:space="preserve">Tentative minimum tax  </w:t>
      </w:r>
      <w:r>
        <w:tab/>
        <w:t xml:space="preserve"> </w:t>
      </w:r>
      <w:r>
        <w:tab/>
        <w:t xml:space="preserve"> </w:t>
      </w:r>
      <w:r>
        <w:tab/>
        <w:t xml:space="preserve"> </w:t>
      </w:r>
      <w:r>
        <w:tab/>
      </w:r>
      <w:r>
        <w:rPr>
          <w:u w:val="double" w:color="000000"/>
        </w:rPr>
        <w:t>$1,562,345</w:t>
      </w:r>
      <w:r>
        <w:t xml:space="preserve"> </w:t>
      </w:r>
    </w:p>
    <w:p w:rsidR="00C25E94" w:rsidRDefault="00AA21AD">
      <w:pPr>
        <w:spacing w:line="259" w:lineRule="auto"/>
        <w:ind w:left="720" w:right="0" w:firstLine="0"/>
        <w:jc w:val="left"/>
      </w:pPr>
      <w:r>
        <w:t xml:space="preserve"> </w:t>
      </w:r>
    </w:p>
    <w:p w:rsidR="00C25E94" w:rsidRDefault="00AA21AD">
      <w:pPr>
        <w:tabs>
          <w:tab w:val="center" w:pos="2515"/>
          <w:tab w:val="center" w:pos="5041"/>
          <w:tab w:val="center" w:pos="5761"/>
          <w:tab w:val="center" w:pos="6975"/>
        </w:tabs>
        <w:ind w:left="0" w:right="0" w:firstLine="0"/>
        <w:jc w:val="left"/>
      </w:pPr>
      <w:r>
        <w:rPr>
          <w:rFonts w:ascii="Calibri" w:eastAsia="Calibri" w:hAnsi="Calibri" w:cs="Calibri"/>
        </w:rPr>
        <w:tab/>
      </w:r>
      <w:r>
        <w:t>Regular tax liability ($6,255,012 × 34%)</w:t>
      </w:r>
      <w:r>
        <w:tab/>
        <w:t xml:space="preserve"> </w:t>
      </w:r>
      <w:r>
        <w:tab/>
        <w:t xml:space="preserve"> </w:t>
      </w:r>
      <w:r>
        <w:tab/>
      </w:r>
      <w:r>
        <w:rPr>
          <w:u w:val="double" w:color="000000"/>
        </w:rPr>
        <w:t>$2,126,704</w:t>
      </w:r>
      <w:r>
        <w:t xml:space="preserve"> </w:t>
      </w:r>
    </w:p>
    <w:p w:rsidR="00C25E94" w:rsidRDefault="00AA21AD">
      <w:pPr>
        <w:spacing w:line="259" w:lineRule="auto"/>
        <w:ind w:left="720" w:right="0" w:firstLine="0"/>
        <w:jc w:val="left"/>
      </w:pPr>
      <w:r>
        <w:t xml:space="preserve"> </w:t>
      </w:r>
    </w:p>
    <w:p w:rsidR="00C25E94" w:rsidRDefault="00AA21AD">
      <w:pPr>
        <w:tabs>
          <w:tab w:val="center" w:pos="720"/>
          <w:tab w:val="center" w:pos="2552"/>
          <w:tab w:val="center" w:pos="4320"/>
          <w:tab w:val="center" w:pos="5040"/>
          <w:tab w:val="center" w:pos="5760"/>
          <w:tab w:val="center" w:pos="6948"/>
        </w:tabs>
        <w:ind w:left="0" w:right="0" w:firstLine="0"/>
        <w:jc w:val="left"/>
      </w:pPr>
      <w:r>
        <w:rPr>
          <w:rFonts w:ascii="Calibri" w:eastAsia="Calibri" w:hAnsi="Calibri" w:cs="Calibri"/>
        </w:rPr>
        <w:tab/>
      </w:r>
      <w:r>
        <w:t xml:space="preserve"> </w:t>
      </w:r>
      <w:r>
        <w:tab/>
        <w:t xml:space="preserve">Alternative minimum tax </w:t>
      </w:r>
      <w:r>
        <w:tab/>
        <w:t xml:space="preserve"> </w:t>
      </w:r>
      <w:r>
        <w:tab/>
        <w:t xml:space="preserve"> </w:t>
      </w:r>
      <w:r>
        <w:tab/>
        <w:t xml:space="preserve"> </w:t>
      </w:r>
      <w:r>
        <w:tab/>
      </w:r>
      <w:r>
        <w:rPr>
          <w:u w:val="double" w:color="000000"/>
        </w:rPr>
        <w:t>$         –0–</w:t>
      </w:r>
      <w:r>
        <w:t xml:space="preserve"> </w:t>
      </w:r>
    </w:p>
    <w:p w:rsidR="00C25E94" w:rsidRDefault="00AA21AD">
      <w:pPr>
        <w:spacing w:after="0" w:line="259" w:lineRule="auto"/>
        <w:ind w:left="720" w:right="0" w:firstLine="0"/>
        <w:jc w:val="left"/>
      </w:pPr>
      <w:r>
        <w:t xml:space="preserve"> </w:t>
      </w:r>
    </w:p>
    <w:p w:rsidR="00C25E94" w:rsidRDefault="00AA21AD">
      <w:pPr>
        <w:numPr>
          <w:ilvl w:val="0"/>
          <w:numId w:val="12"/>
        </w:numPr>
        <w:ind w:right="43" w:hanging="719"/>
      </w:pPr>
      <w:r>
        <w:t xml:space="preserve">(LO 7, 8) The following table summarizes the regular tax and AMT deductions and AMT adjustments for Dry Hole, Inc.’s mining exploration costs: </w:t>
      </w:r>
    </w:p>
    <w:p w:rsidR="00C25E94" w:rsidRDefault="00AA21AD">
      <w:pPr>
        <w:spacing w:after="0" w:line="259" w:lineRule="auto"/>
        <w:ind w:left="720" w:right="0" w:firstLine="0"/>
        <w:jc w:val="left"/>
      </w:pPr>
      <w:r>
        <w:t xml:space="preserve"> </w:t>
      </w:r>
    </w:p>
    <w:tbl>
      <w:tblPr>
        <w:tblStyle w:val="TableGrid"/>
        <w:tblW w:w="8710" w:type="dxa"/>
        <w:tblInd w:w="540" w:type="dxa"/>
        <w:tblCellMar>
          <w:top w:w="55" w:type="dxa"/>
          <w:left w:w="108" w:type="dxa"/>
          <w:bottom w:w="0" w:type="dxa"/>
          <w:right w:w="111" w:type="dxa"/>
        </w:tblCellMar>
        <w:tblLook w:val="04A0" w:firstRow="1" w:lastRow="0" w:firstColumn="1" w:lastColumn="0" w:noHBand="0" w:noVBand="1"/>
      </w:tblPr>
      <w:tblGrid>
        <w:gridCol w:w="907"/>
        <w:gridCol w:w="1526"/>
        <w:gridCol w:w="1589"/>
        <w:gridCol w:w="1555"/>
        <w:gridCol w:w="1561"/>
        <w:gridCol w:w="1572"/>
      </w:tblGrid>
      <w:tr w:rsidR="00C25E94">
        <w:trPr>
          <w:trHeight w:val="576"/>
        </w:trPr>
        <w:tc>
          <w:tcPr>
            <w:tcW w:w="906" w:type="dxa"/>
            <w:tcBorders>
              <w:top w:val="single" w:sz="4" w:space="0" w:color="000000"/>
              <w:left w:val="single" w:sz="4" w:space="0" w:color="000000"/>
              <w:bottom w:val="single" w:sz="4" w:space="0" w:color="000000"/>
              <w:right w:val="single" w:sz="4" w:space="0" w:color="000000"/>
            </w:tcBorders>
            <w:vAlign w:val="center"/>
          </w:tcPr>
          <w:p w:rsidR="00C25E94" w:rsidRDefault="00AA21AD">
            <w:pPr>
              <w:spacing w:after="0" w:line="259" w:lineRule="auto"/>
              <w:ind w:left="56" w:right="0" w:firstLine="0"/>
              <w:jc w:val="center"/>
            </w:pPr>
            <w:r>
              <w:rPr>
                <w:b/>
              </w:rPr>
              <w:t xml:space="preserve"> </w:t>
            </w:r>
          </w:p>
        </w:tc>
        <w:tc>
          <w:tcPr>
            <w:tcW w:w="1526" w:type="dxa"/>
            <w:tcBorders>
              <w:top w:val="single" w:sz="4" w:space="0" w:color="000000"/>
              <w:left w:val="single" w:sz="4" w:space="0" w:color="000000"/>
              <w:bottom w:val="single" w:sz="4" w:space="0" w:color="000000"/>
              <w:right w:val="nil"/>
            </w:tcBorders>
          </w:tcPr>
          <w:p w:rsidR="00C25E94" w:rsidRDefault="00C25E94">
            <w:pPr>
              <w:spacing w:after="160" w:line="259" w:lineRule="auto"/>
              <w:ind w:left="0" w:right="0" w:firstLine="0"/>
              <w:jc w:val="left"/>
            </w:pPr>
          </w:p>
        </w:tc>
        <w:tc>
          <w:tcPr>
            <w:tcW w:w="1589" w:type="dxa"/>
            <w:tcBorders>
              <w:top w:val="single" w:sz="4" w:space="0" w:color="000000"/>
              <w:left w:val="nil"/>
              <w:bottom w:val="single" w:sz="4" w:space="0" w:color="000000"/>
              <w:right w:val="nil"/>
            </w:tcBorders>
            <w:vAlign w:val="center"/>
          </w:tcPr>
          <w:p w:rsidR="00C25E94" w:rsidRDefault="00AA21AD">
            <w:pPr>
              <w:spacing w:after="0" w:line="259" w:lineRule="auto"/>
              <w:ind w:left="30" w:right="0" w:firstLine="0"/>
              <w:jc w:val="center"/>
            </w:pPr>
            <w:r>
              <w:rPr>
                <w:b/>
              </w:rPr>
              <w:t xml:space="preserve">Regular Tax </w:t>
            </w:r>
          </w:p>
        </w:tc>
        <w:tc>
          <w:tcPr>
            <w:tcW w:w="1555" w:type="dxa"/>
            <w:tcBorders>
              <w:top w:val="single" w:sz="4" w:space="0" w:color="000000"/>
              <w:left w:val="nil"/>
              <w:bottom w:val="single" w:sz="4" w:space="0" w:color="000000"/>
              <w:right w:val="single" w:sz="4" w:space="0" w:color="000000"/>
            </w:tcBorders>
          </w:tcPr>
          <w:p w:rsidR="00C25E94" w:rsidRDefault="00C25E94">
            <w:pPr>
              <w:spacing w:after="160" w:line="259" w:lineRule="auto"/>
              <w:ind w:left="0" w:right="0" w:firstLine="0"/>
              <w:jc w:val="left"/>
            </w:pPr>
          </w:p>
        </w:tc>
        <w:tc>
          <w:tcPr>
            <w:tcW w:w="3133" w:type="dxa"/>
            <w:gridSpan w:val="2"/>
            <w:tcBorders>
              <w:top w:val="single" w:sz="4" w:space="0" w:color="000000"/>
              <w:left w:val="single" w:sz="4" w:space="0" w:color="000000"/>
              <w:bottom w:val="single" w:sz="4" w:space="0" w:color="000000"/>
              <w:right w:val="single" w:sz="4" w:space="0" w:color="000000"/>
            </w:tcBorders>
            <w:vAlign w:val="center"/>
          </w:tcPr>
          <w:p w:rsidR="00C25E94" w:rsidRDefault="00AA21AD">
            <w:pPr>
              <w:spacing w:after="0" w:line="259" w:lineRule="auto"/>
              <w:ind w:left="0" w:right="0" w:firstLine="0"/>
              <w:jc w:val="center"/>
            </w:pPr>
            <w:r>
              <w:rPr>
                <w:b/>
              </w:rPr>
              <w:t xml:space="preserve">AMT </w:t>
            </w:r>
          </w:p>
        </w:tc>
      </w:tr>
      <w:tr w:rsidR="00C25E94">
        <w:trPr>
          <w:trHeight w:val="576"/>
        </w:trPr>
        <w:tc>
          <w:tcPr>
            <w:tcW w:w="906" w:type="dxa"/>
            <w:tcBorders>
              <w:top w:val="single" w:sz="4" w:space="0" w:color="000000"/>
              <w:left w:val="single" w:sz="4" w:space="0" w:color="000000"/>
              <w:bottom w:val="single" w:sz="4" w:space="0" w:color="000000"/>
              <w:right w:val="single" w:sz="4" w:space="0" w:color="000000"/>
            </w:tcBorders>
            <w:vAlign w:val="center"/>
          </w:tcPr>
          <w:p w:rsidR="00C25E94" w:rsidRDefault="00AA21AD">
            <w:pPr>
              <w:spacing w:after="0" w:line="259" w:lineRule="auto"/>
              <w:ind w:left="2" w:right="0" w:firstLine="0"/>
              <w:jc w:val="center"/>
            </w:pPr>
            <w:r>
              <w:rPr>
                <w:b/>
              </w:rPr>
              <w:t xml:space="preserve">Year </w:t>
            </w:r>
          </w:p>
        </w:tc>
        <w:tc>
          <w:tcPr>
            <w:tcW w:w="1526" w:type="dxa"/>
            <w:tcBorders>
              <w:top w:val="single" w:sz="4" w:space="0" w:color="000000"/>
              <w:left w:val="single" w:sz="4" w:space="0" w:color="000000"/>
              <w:bottom w:val="single" w:sz="4" w:space="0" w:color="000000"/>
              <w:right w:val="single" w:sz="4" w:space="0" w:color="000000"/>
            </w:tcBorders>
            <w:vAlign w:val="center"/>
          </w:tcPr>
          <w:p w:rsidR="00C25E94" w:rsidRDefault="00AA21AD">
            <w:pPr>
              <w:spacing w:after="0" w:line="259" w:lineRule="auto"/>
              <w:ind w:left="0" w:right="0" w:firstLine="0"/>
              <w:jc w:val="center"/>
            </w:pPr>
            <w:r>
              <w:rPr>
                <w:b/>
              </w:rPr>
              <w:t xml:space="preserve">Deduction </w:t>
            </w:r>
          </w:p>
        </w:tc>
        <w:tc>
          <w:tcPr>
            <w:tcW w:w="1589" w:type="dxa"/>
            <w:tcBorders>
              <w:top w:val="single" w:sz="4" w:space="0" w:color="000000"/>
              <w:left w:val="single" w:sz="4" w:space="0" w:color="000000"/>
              <w:bottom w:val="single" w:sz="4" w:space="0" w:color="000000"/>
              <w:right w:val="single" w:sz="4" w:space="0" w:color="000000"/>
            </w:tcBorders>
            <w:vAlign w:val="center"/>
          </w:tcPr>
          <w:p w:rsidR="00C25E94" w:rsidRDefault="00AA21AD">
            <w:pPr>
              <w:spacing w:after="0" w:line="259" w:lineRule="auto"/>
              <w:ind w:left="56" w:right="0" w:firstLine="0"/>
              <w:jc w:val="left"/>
            </w:pPr>
            <w:r>
              <w:rPr>
                <w:b/>
              </w:rPr>
              <w:t xml:space="preserve">Amortization </w:t>
            </w:r>
          </w:p>
        </w:tc>
        <w:tc>
          <w:tcPr>
            <w:tcW w:w="1555" w:type="dxa"/>
            <w:tcBorders>
              <w:top w:val="single" w:sz="4" w:space="0" w:color="000000"/>
              <w:left w:val="single" w:sz="4" w:space="0" w:color="000000"/>
              <w:bottom w:val="single" w:sz="4" w:space="0" w:color="000000"/>
              <w:right w:val="single" w:sz="4" w:space="0" w:color="000000"/>
            </w:tcBorders>
            <w:vAlign w:val="center"/>
          </w:tcPr>
          <w:p w:rsidR="00C25E94" w:rsidRDefault="00AA21AD">
            <w:pPr>
              <w:spacing w:after="0" w:line="259" w:lineRule="auto"/>
              <w:ind w:left="2" w:right="0" w:firstLine="0"/>
              <w:jc w:val="center"/>
            </w:pPr>
            <w:r>
              <w:rPr>
                <w:b/>
              </w:rPr>
              <w:t xml:space="preserve">Total </w:t>
            </w:r>
          </w:p>
        </w:tc>
        <w:tc>
          <w:tcPr>
            <w:tcW w:w="1561" w:type="dxa"/>
            <w:tcBorders>
              <w:top w:val="single" w:sz="4" w:space="0" w:color="000000"/>
              <w:left w:val="single" w:sz="4" w:space="0" w:color="000000"/>
              <w:bottom w:val="single" w:sz="4" w:space="0" w:color="000000"/>
              <w:right w:val="single" w:sz="4" w:space="0" w:color="000000"/>
            </w:tcBorders>
            <w:vAlign w:val="center"/>
          </w:tcPr>
          <w:p w:rsidR="00C25E94" w:rsidRDefault="00AA21AD">
            <w:pPr>
              <w:spacing w:after="0" w:line="259" w:lineRule="auto"/>
              <w:ind w:left="1" w:right="0" w:firstLine="0"/>
              <w:jc w:val="center"/>
            </w:pPr>
            <w:r>
              <w:rPr>
                <w:b/>
              </w:rPr>
              <w:t xml:space="preserve">Deduction </w:t>
            </w:r>
          </w:p>
        </w:tc>
        <w:tc>
          <w:tcPr>
            <w:tcW w:w="1572" w:type="dxa"/>
            <w:tcBorders>
              <w:top w:val="single" w:sz="4" w:space="0" w:color="000000"/>
              <w:left w:val="single" w:sz="4" w:space="0" w:color="000000"/>
              <w:bottom w:val="single" w:sz="4" w:space="0" w:color="000000"/>
              <w:right w:val="single" w:sz="4" w:space="0" w:color="000000"/>
            </w:tcBorders>
            <w:vAlign w:val="center"/>
          </w:tcPr>
          <w:p w:rsidR="00C25E94" w:rsidRDefault="00AA21AD">
            <w:pPr>
              <w:spacing w:after="0" w:line="259" w:lineRule="auto"/>
              <w:ind w:left="0" w:right="0" w:firstLine="0"/>
              <w:jc w:val="center"/>
            </w:pPr>
            <w:r>
              <w:rPr>
                <w:b/>
              </w:rPr>
              <w:t xml:space="preserve">Adjustment </w:t>
            </w:r>
          </w:p>
        </w:tc>
      </w:tr>
      <w:tr w:rsidR="00C25E94">
        <w:trPr>
          <w:trHeight w:val="264"/>
        </w:trPr>
        <w:tc>
          <w:tcPr>
            <w:tcW w:w="906"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center"/>
            </w:pPr>
            <w:r>
              <w:t xml:space="preserve">1 </w:t>
            </w:r>
          </w:p>
        </w:tc>
        <w:tc>
          <w:tcPr>
            <w:tcW w:w="1526"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$210,000 </w:t>
            </w:r>
          </w:p>
        </w:tc>
        <w:tc>
          <w:tcPr>
            <w:tcW w:w="1589"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  9,000 </w:t>
            </w:r>
          </w:p>
        </w:tc>
        <w:tc>
          <w:tcPr>
            <w:tcW w:w="1555"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$219,000 </w:t>
            </w:r>
          </w:p>
        </w:tc>
        <w:tc>
          <w:tcPr>
            <w:tcW w:w="1561"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$ 30,000 </w:t>
            </w:r>
          </w:p>
        </w:tc>
        <w:tc>
          <w:tcPr>
            <w:tcW w:w="1572"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$189,000 </w:t>
            </w:r>
          </w:p>
        </w:tc>
      </w:tr>
      <w:tr w:rsidR="00C25E94">
        <w:trPr>
          <w:trHeight w:val="263"/>
        </w:trPr>
        <w:tc>
          <w:tcPr>
            <w:tcW w:w="906"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center"/>
            </w:pPr>
            <w:r>
              <w:t xml:space="preserve">2 </w:t>
            </w:r>
          </w:p>
        </w:tc>
        <w:tc>
          <w:tcPr>
            <w:tcW w:w="1526"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18,000 </w:t>
            </w:r>
          </w:p>
        </w:tc>
        <w:tc>
          <w:tcPr>
            <w:tcW w:w="1555"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18,000 </w:t>
            </w:r>
          </w:p>
        </w:tc>
        <w:tc>
          <w:tcPr>
            <w:tcW w:w="1561"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30,000 </w:t>
            </w:r>
          </w:p>
        </w:tc>
        <w:tc>
          <w:tcPr>
            <w:tcW w:w="1572"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(12,000) </w:t>
            </w:r>
          </w:p>
        </w:tc>
      </w:tr>
      <w:tr w:rsidR="00C25E94">
        <w:trPr>
          <w:trHeight w:val="263"/>
        </w:trPr>
        <w:tc>
          <w:tcPr>
            <w:tcW w:w="906"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center"/>
            </w:pPr>
            <w:r>
              <w:t xml:space="preserve">3 </w:t>
            </w:r>
          </w:p>
        </w:tc>
        <w:tc>
          <w:tcPr>
            <w:tcW w:w="1526"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18,000 </w:t>
            </w:r>
          </w:p>
        </w:tc>
        <w:tc>
          <w:tcPr>
            <w:tcW w:w="1555"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18,000 </w:t>
            </w:r>
          </w:p>
        </w:tc>
        <w:tc>
          <w:tcPr>
            <w:tcW w:w="1561"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30,000 </w:t>
            </w:r>
          </w:p>
        </w:tc>
        <w:tc>
          <w:tcPr>
            <w:tcW w:w="1572"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(12,000) </w:t>
            </w:r>
          </w:p>
        </w:tc>
      </w:tr>
      <w:tr w:rsidR="00C25E94">
        <w:trPr>
          <w:trHeight w:val="263"/>
        </w:trPr>
        <w:tc>
          <w:tcPr>
            <w:tcW w:w="906"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center"/>
            </w:pPr>
            <w:r>
              <w:t xml:space="preserve">4 </w:t>
            </w:r>
          </w:p>
        </w:tc>
        <w:tc>
          <w:tcPr>
            <w:tcW w:w="1526"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18,000 </w:t>
            </w:r>
          </w:p>
        </w:tc>
        <w:tc>
          <w:tcPr>
            <w:tcW w:w="1555"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18,000 </w:t>
            </w:r>
          </w:p>
        </w:tc>
        <w:tc>
          <w:tcPr>
            <w:tcW w:w="1561"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30,000 </w:t>
            </w:r>
          </w:p>
        </w:tc>
        <w:tc>
          <w:tcPr>
            <w:tcW w:w="1572"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(12,000) </w:t>
            </w:r>
          </w:p>
        </w:tc>
      </w:tr>
      <w:tr w:rsidR="00C25E94">
        <w:trPr>
          <w:trHeight w:val="263"/>
        </w:trPr>
        <w:tc>
          <w:tcPr>
            <w:tcW w:w="906"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center"/>
            </w:pPr>
            <w:r>
              <w:t xml:space="preserve">5 </w:t>
            </w:r>
          </w:p>
        </w:tc>
        <w:tc>
          <w:tcPr>
            <w:tcW w:w="1526"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18,000 </w:t>
            </w:r>
          </w:p>
        </w:tc>
        <w:tc>
          <w:tcPr>
            <w:tcW w:w="1555"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18,000 </w:t>
            </w:r>
          </w:p>
        </w:tc>
        <w:tc>
          <w:tcPr>
            <w:tcW w:w="1561"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30,000 </w:t>
            </w:r>
          </w:p>
        </w:tc>
        <w:tc>
          <w:tcPr>
            <w:tcW w:w="1572"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(12,000) </w:t>
            </w:r>
          </w:p>
        </w:tc>
      </w:tr>
      <w:tr w:rsidR="00C25E94">
        <w:trPr>
          <w:trHeight w:val="263"/>
        </w:trPr>
        <w:tc>
          <w:tcPr>
            <w:tcW w:w="906"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center"/>
            </w:pPr>
            <w:r>
              <w:t xml:space="preserve">6 </w:t>
            </w:r>
          </w:p>
        </w:tc>
        <w:tc>
          <w:tcPr>
            <w:tcW w:w="1526"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9,000 </w:t>
            </w:r>
          </w:p>
        </w:tc>
        <w:tc>
          <w:tcPr>
            <w:tcW w:w="1555"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9,000 </w:t>
            </w:r>
          </w:p>
        </w:tc>
        <w:tc>
          <w:tcPr>
            <w:tcW w:w="1561"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30,000 </w:t>
            </w:r>
          </w:p>
        </w:tc>
        <w:tc>
          <w:tcPr>
            <w:tcW w:w="1572"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(21,000) </w:t>
            </w:r>
          </w:p>
        </w:tc>
      </w:tr>
      <w:tr w:rsidR="00C25E94">
        <w:trPr>
          <w:trHeight w:val="288"/>
        </w:trPr>
        <w:tc>
          <w:tcPr>
            <w:tcW w:w="906"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center"/>
            </w:pPr>
            <w:r>
              <w:t xml:space="preserve">7 </w:t>
            </w:r>
          </w:p>
        </w:tc>
        <w:tc>
          <w:tcPr>
            <w:tcW w:w="1526"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w:t>
            </w:r>
          </w:p>
        </w:tc>
        <w:tc>
          <w:tcPr>
            <w:tcW w:w="1555"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w:t>
            </w:r>
          </w:p>
        </w:tc>
        <w:tc>
          <w:tcPr>
            <w:tcW w:w="1561"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30,000 </w:t>
            </w:r>
          </w:p>
        </w:tc>
        <w:tc>
          <w:tcPr>
            <w:tcW w:w="1572"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(30,000) </w:t>
            </w:r>
          </w:p>
        </w:tc>
      </w:tr>
      <w:tr w:rsidR="00C25E94">
        <w:trPr>
          <w:trHeight w:val="263"/>
        </w:trPr>
        <w:tc>
          <w:tcPr>
            <w:tcW w:w="906"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center"/>
            </w:pPr>
            <w:r>
              <w:t xml:space="preserve">8 </w:t>
            </w:r>
          </w:p>
        </w:tc>
        <w:tc>
          <w:tcPr>
            <w:tcW w:w="1526"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w:t>
            </w:r>
          </w:p>
        </w:tc>
        <w:tc>
          <w:tcPr>
            <w:tcW w:w="1555"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w:t>
            </w:r>
          </w:p>
        </w:tc>
        <w:tc>
          <w:tcPr>
            <w:tcW w:w="1561"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30,000 </w:t>
            </w:r>
          </w:p>
        </w:tc>
        <w:tc>
          <w:tcPr>
            <w:tcW w:w="1572"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(30,000) </w:t>
            </w:r>
          </w:p>
        </w:tc>
      </w:tr>
      <w:tr w:rsidR="00C25E94">
        <w:trPr>
          <w:trHeight w:val="264"/>
        </w:trPr>
        <w:tc>
          <w:tcPr>
            <w:tcW w:w="906"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 w:right="0" w:firstLine="0"/>
              <w:jc w:val="center"/>
            </w:pPr>
            <w:r>
              <w:t xml:space="preserve">9 </w:t>
            </w:r>
          </w:p>
        </w:tc>
        <w:tc>
          <w:tcPr>
            <w:tcW w:w="1526"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w:t>
            </w:r>
          </w:p>
        </w:tc>
        <w:tc>
          <w:tcPr>
            <w:tcW w:w="1555"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w:t>
            </w:r>
          </w:p>
        </w:tc>
        <w:tc>
          <w:tcPr>
            <w:tcW w:w="1561"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30,000 </w:t>
            </w:r>
          </w:p>
        </w:tc>
        <w:tc>
          <w:tcPr>
            <w:tcW w:w="1572"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(30,000) </w:t>
            </w:r>
          </w:p>
        </w:tc>
      </w:tr>
      <w:tr w:rsidR="00C25E94">
        <w:trPr>
          <w:trHeight w:val="263"/>
        </w:trPr>
        <w:tc>
          <w:tcPr>
            <w:tcW w:w="906"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3" w:right="0" w:firstLine="0"/>
              <w:jc w:val="center"/>
            </w:pPr>
            <w:r>
              <w:t xml:space="preserve">10 </w:t>
            </w:r>
          </w:p>
        </w:tc>
        <w:tc>
          <w:tcPr>
            <w:tcW w:w="1526"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w:t>
            </w:r>
          </w:p>
        </w:tc>
        <w:tc>
          <w:tcPr>
            <w:tcW w:w="1555"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w:t>
            </w:r>
          </w:p>
        </w:tc>
        <w:tc>
          <w:tcPr>
            <w:tcW w:w="1561"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30,000 </w:t>
            </w:r>
          </w:p>
        </w:tc>
        <w:tc>
          <w:tcPr>
            <w:tcW w:w="1572"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(30,000) </w:t>
            </w:r>
          </w:p>
        </w:tc>
      </w:tr>
      <w:tr w:rsidR="00C25E94">
        <w:trPr>
          <w:trHeight w:val="263"/>
        </w:trPr>
        <w:tc>
          <w:tcPr>
            <w:tcW w:w="906"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3" w:right="0" w:firstLine="0"/>
              <w:jc w:val="center"/>
            </w:pPr>
            <w:r>
              <w:t xml:space="preserve">Total </w:t>
            </w:r>
          </w:p>
        </w:tc>
        <w:tc>
          <w:tcPr>
            <w:tcW w:w="1526"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$210,000 </w:t>
            </w:r>
          </w:p>
        </w:tc>
        <w:tc>
          <w:tcPr>
            <w:tcW w:w="1589"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$90,000 </w:t>
            </w:r>
          </w:p>
        </w:tc>
        <w:tc>
          <w:tcPr>
            <w:tcW w:w="1555"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$300,000 </w:t>
            </w:r>
          </w:p>
        </w:tc>
        <w:tc>
          <w:tcPr>
            <w:tcW w:w="1561"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$300,000 </w:t>
            </w:r>
          </w:p>
        </w:tc>
        <w:tc>
          <w:tcPr>
            <w:tcW w:w="1572"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0" w:right="0" w:firstLine="0"/>
              <w:jc w:val="left"/>
            </w:pPr>
            <w:r>
              <w:t xml:space="preserve">   $        –0– </w:t>
            </w:r>
          </w:p>
        </w:tc>
      </w:tr>
    </w:tbl>
    <w:p w:rsidR="00C25E94" w:rsidRDefault="00AA21AD">
      <w:pPr>
        <w:spacing w:line="259" w:lineRule="auto"/>
        <w:ind w:left="720" w:right="0" w:firstLine="0"/>
        <w:jc w:val="left"/>
      </w:pPr>
      <w:r>
        <w:lastRenderedPageBreak/>
        <w:t xml:space="preserve"> </w:t>
      </w:r>
    </w:p>
    <w:p w:rsidR="00C25E94" w:rsidRDefault="00AA21AD">
      <w:pPr>
        <w:numPr>
          <w:ilvl w:val="0"/>
          <w:numId w:val="12"/>
        </w:numPr>
        <w:ind w:right="43" w:hanging="719"/>
      </w:pPr>
      <w:r>
        <w:t xml:space="preserve">(LO 7, 8) The following table summarizes the regular tax and AMT deductions and AMT adjustments for PHC, Inc.’s circulation expenditures: </w:t>
      </w:r>
    </w:p>
    <w:p w:rsidR="00C25E94" w:rsidRDefault="00AA21AD">
      <w:pPr>
        <w:spacing w:after="0" w:line="259" w:lineRule="auto"/>
        <w:ind w:left="0" w:right="0" w:firstLine="0"/>
        <w:jc w:val="left"/>
      </w:pPr>
      <w:r>
        <w:t xml:space="preserve"> </w:t>
      </w:r>
    </w:p>
    <w:tbl>
      <w:tblPr>
        <w:tblStyle w:val="TableGrid"/>
        <w:tblW w:w="7830" w:type="dxa"/>
        <w:tblInd w:w="540" w:type="dxa"/>
        <w:tblCellMar>
          <w:top w:w="57" w:type="dxa"/>
          <w:left w:w="0" w:type="dxa"/>
          <w:bottom w:w="0" w:type="dxa"/>
          <w:right w:w="144" w:type="dxa"/>
        </w:tblCellMar>
        <w:tblLook w:val="04A0" w:firstRow="1" w:lastRow="0" w:firstColumn="1" w:lastColumn="0" w:noHBand="0" w:noVBand="1"/>
      </w:tblPr>
      <w:tblGrid>
        <w:gridCol w:w="1260"/>
        <w:gridCol w:w="2340"/>
        <w:gridCol w:w="2160"/>
        <w:gridCol w:w="2070"/>
      </w:tblGrid>
      <w:tr w:rsidR="00C25E94">
        <w:trPr>
          <w:trHeight w:val="442"/>
        </w:trPr>
        <w:tc>
          <w:tcPr>
            <w:tcW w:w="12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99" w:right="0" w:firstLine="0"/>
              <w:jc w:val="center"/>
            </w:pPr>
            <w:r>
              <w:rPr>
                <w:b/>
              </w:rPr>
              <w:t xml:space="preserve"> </w:t>
            </w:r>
          </w:p>
        </w:tc>
        <w:tc>
          <w:tcPr>
            <w:tcW w:w="234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42" w:right="0" w:firstLine="0"/>
              <w:jc w:val="center"/>
            </w:pPr>
            <w:r>
              <w:rPr>
                <w:b/>
              </w:rPr>
              <w:t xml:space="preserve">Regular Tax </w:t>
            </w:r>
          </w:p>
        </w:tc>
        <w:tc>
          <w:tcPr>
            <w:tcW w:w="2160" w:type="dxa"/>
            <w:tcBorders>
              <w:top w:val="single" w:sz="4" w:space="0" w:color="000000"/>
              <w:left w:val="single" w:sz="4" w:space="0" w:color="000000"/>
              <w:bottom w:val="single" w:sz="4" w:space="0" w:color="000000"/>
              <w:right w:val="nil"/>
            </w:tcBorders>
          </w:tcPr>
          <w:p w:rsidR="00C25E94" w:rsidRDefault="00AA21AD">
            <w:pPr>
              <w:spacing w:after="0" w:line="259" w:lineRule="auto"/>
              <w:ind w:left="0" w:right="0" w:firstLine="0"/>
              <w:jc w:val="right"/>
            </w:pPr>
            <w:r>
              <w:rPr>
                <w:b/>
              </w:rPr>
              <w:t>A</w:t>
            </w:r>
          </w:p>
        </w:tc>
        <w:tc>
          <w:tcPr>
            <w:tcW w:w="2070" w:type="dxa"/>
            <w:tcBorders>
              <w:top w:val="single" w:sz="4" w:space="0" w:color="000000"/>
              <w:left w:val="nil"/>
              <w:bottom w:val="single" w:sz="4" w:space="0" w:color="000000"/>
              <w:right w:val="single" w:sz="4" w:space="0" w:color="000000"/>
            </w:tcBorders>
          </w:tcPr>
          <w:p w:rsidR="00C25E94" w:rsidRDefault="00AA21AD">
            <w:pPr>
              <w:spacing w:after="0" w:line="259" w:lineRule="auto"/>
              <w:ind w:left="-144" w:right="0" w:firstLine="0"/>
              <w:jc w:val="left"/>
            </w:pPr>
            <w:r>
              <w:rPr>
                <w:b/>
              </w:rPr>
              <w:t xml:space="preserve">MT </w:t>
            </w:r>
          </w:p>
        </w:tc>
      </w:tr>
      <w:tr w:rsidR="00C25E94">
        <w:trPr>
          <w:trHeight w:val="442"/>
        </w:trPr>
        <w:tc>
          <w:tcPr>
            <w:tcW w:w="12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42" w:right="0" w:firstLine="0"/>
              <w:jc w:val="center"/>
            </w:pPr>
            <w:r>
              <w:rPr>
                <w:b/>
              </w:rPr>
              <w:t xml:space="preserve">Year </w:t>
            </w:r>
          </w:p>
        </w:tc>
        <w:tc>
          <w:tcPr>
            <w:tcW w:w="234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42" w:right="0" w:firstLine="0"/>
              <w:jc w:val="center"/>
            </w:pPr>
            <w:r>
              <w:rPr>
                <w:b/>
              </w:rPr>
              <w:t xml:space="preserve">Deduction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42" w:right="0" w:firstLine="0"/>
              <w:jc w:val="center"/>
            </w:pPr>
            <w:r>
              <w:rPr>
                <w:b/>
              </w:rPr>
              <w:t xml:space="preserve">Amortization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43" w:right="0" w:firstLine="0"/>
              <w:jc w:val="center"/>
            </w:pPr>
            <w:r>
              <w:rPr>
                <w:b/>
              </w:rPr>
              <w:t xml:space="preserve">Adjustment </w:t>
            </w:r>
          </w:p>
        </w:tc>
      </w:tr>
      <w:tr w:rsidR="00C25E94">
        <w:trPr>
          <w:trHeight w:val="263"/>
        </w:trPr>
        <w:tc>
          <w:tcPr>
            <w:tcW w:w="12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43" w:right="0" w:firstLine="0"/>
              <w:jc w:val="center"/>
            </w:pPr>
            <w:r>
              <w:t xml:space="preserve">1 </w:t>
            </w:r>
          </w:p>
        </w:tc>
        <w:tc>
          <w:tcPr>
            <w:tcW w:w="234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44" w:right="0" w:firstLine="0"/>
              <w:jc w:val="center"/>
            </w:pPr>
            <w:r>
              <w:t>$33,000</w:t>
            </w:r>
            <w:r>
              <w:rPr>
                <w:b/>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44" w:right="0" w:firstLine="0"/>
              <w:jc w:val="center"/>
            </w:pPr>
            <w:r>
              <w:t>$11,000</w:t>
            </w:r>
            <w:r>
              <w:rPr>
                <w:b/>
              </w:rPr>
              <w:t xml:space="preserve">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43" w:right="0" w:firstLine="0"/>
              <w:jc w:val="center"/>
            </w:pPr>
            <w:r>
              <w:t>$22,000</w:t>
            </w:r>
            <w:r>
              <w:rPr>
                <w:b/>
              </w:rPr>
              <w:t xml:space="preserve"> </w:t>
            </w:r>
          </w:p>
        </w:tc>
      </w:tr>
      <w:tr w:rsidR="00C25E94">
        <w:trPr>
          <w:trHeight w:val="263"/>
        </w:trPr>
        <w:tc>
          <w:tcPr>
            <w:tcW w:w="12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43" w:right="0" w:firstLine="0"/>
              <w:jc w:val="center"/>
            </w:pPr>
            <w:r>
              <w:t xml:space="preserve">2 </w:t>
            </w:r>
          </w:p>
        </w:tc>
        <w:tc>
          <w:tcPr>
            <w:tcW w:w="234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08" w:right="0"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44" w:right="0" w:firstLine="0"/>
              <w:jc w:val="center"/>
            </w:pPr>
            <w:r>
              <w:t xml:space="preserve">  11,000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44" w:right="0" w:firstLine="0"/>
              <w:jc w:val="center"/>
            </w:pPr>
            <w:r>
              <w:t xml:space="preserve"> (11,000) </w:t>
            </w:r>
          </w:p>
        </w:tc>
      </w:tr>
      <w:tr w:rsidR="00C25E94">
        <w:trPr>
          <w:trHeight w:val="264"/>
        </w:trPr>
        <w:tc>
          <w:tcPr>
            <w:tcW w:w="12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43" w:right="0" w:firstLine="0"/>
              <w:jc w:val="center"/>
            </w:pPr>
            <w:r>
              <w:t xml:space="preserve">3 </w:t>
            </w:r>
          </w:p>
        </w:tc>
        <w:tc>
          <w:tcPr>
            <w:tcW w:w="234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08" w:right="0"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44" w:right="0" w:firstLine="0"/>
              <w:jc w:val="center"/>
            </w:pPr>
            <w:r>
              <w:t xml:space="preserve">  11,000 </w:t>
            </w:r>
          </w:p>
        </w:tc>
        <w:tc>
          <w:tcPr>
            <w:tcW w:w="2070" w:type="dxa"/>
            <w:tcBorders>
              <w:top w:val="single" w:sz="4" w:space="0" w:color="000000"/>
              <w:left w:val="single" w:sz="4" w:space="0" w:color="000000"/>
              <w:bottom w:val="single" w:sz="4" w:space="0" w:color="000000"/>
              <w:right w:val="single" w:sz="4" w:space="0" w:color="000000"/>
            </w:tcBorders>
          </w:tcPr>
          <w:p w:rsidR="00C25E94" w:rsidRDefault="00AA21AD">
            <w:pPr>
              <w:spacing w:after="0" w:line="259" w:lineRule="auto"/>
              <w:ind w:left="144" w:right="0" w:firstLine="0"/>
              <w:jc w:val="center"/>
            </w:pPr>
            <w:r>
              <w:t xml:space="preserve"> (11,000) </w:t>
            </w:r>
          </w:p>
        </w:tc>
      </w:tr>
    </w:tbl>
    <w:p w:rsidR="00C25E94" w:rsidRDefault="00AA21AD">
      <w:pPr>
        <w:spacing w:after="0" w:line="259" w:lineRule="auto"/>
        <w:ind w:left="720" w:right="0" w:firstLine="0"/>
        <w:jc w:val="left"/>
      </w:pPr>
      <w:r>
        <w:t xml:space="preserve"> </w:t>
      </w:r>
    </w:p>
    <w:p w:rsidR="00C25E94" w:rsidRDefault="00AA21AD">
      <w:pPr>
        <w:numPr>
          <w:ilvl w:val="0"/>
          <w:numId w:val="12"/>
        </w:numPr>
        <w:spacing w:after="143"/>
        <w:ind w:right="43" w:hanging="719"/>
      </w:pPr>
      <w:r>
        <w:t xml:space="preserve">(LO 7, 8) The completed Form 8827 for Winter Corporation follows: </w:t>
      </w:r>
    </w:p>
    <w:p w:rsidR="00C25E94" w:rsidRDefault="00AA21AD">
      <w:pPr>
        <w:spacing w:after="0" w:line="259" w:lineRule="auto"/>
        <w:ind w:left="0" w:right="0" w:firstLine="0"/>
        <w:jc w:val="right"/>
      </w:pPr>
      <w:r>
        <w:rPr>
          <w:rFonts w:ascii="Calibri" w:eastAsia="Calibri" w:hAnsi="Calibri" w:cs="Calibri"/>
          <w:noProof/>
        </w:rPr>
        <w:lastRenderedPageBreak/>
        <mc:AlternateContent>
          <mc:Choice Requires="wpg">
            <w:drawing>
              <wp:inline distT="0" distB="0" distL="0" distR="0">
                <wp:extent cx="5854865" cy="7915657"/>
                <wp:effectExtent l="0" t="0" r="0" b="0"/>
                <wp:docPr id="53744" name="Group 53744"/>
                <wp:cNvGraphicFramePr/>
                <a:graphic xmlns:a="http://schemas.openxmlformats.org/drawingml/2006/main">
                  <a:graphicData uri="http://schemas.microsoft.com/office/word/2010/wordprocessingGroup">
                    <wpg:wgp>
                      <wpg:cNvGrpSpPr/>
                      <wpg:grpSpPr>
                        <a:xfrm>
                          <a:off x="0" y="0"/>
                          <a:ext cx="5854865" cy="7915657"/>
                          <a:chOff x="0" y="0"/>
                          <a:chExt cx="5854865" cy="7915657"/>
                        </a:xfrm>
                      </wpg:grpSpPr>
                      <pic:pic xmlns:pic="http://schemas.openxmlformats.org/drawingml/2006/picture">
                        <pic:nvPicPr>
                          <pic:cNvPr id="2652" name="Picture 2652"/>
                          <pic:cNvPicPr/>
                        </pic:nvPicPr>
                        <pic:blipFill>
                          <a:blip r:embed="rId13"/>
                          <a:stretch>
                            <a:fillRect/>
                          </a:stretch>
                        </pic:blipFill>
                        <pic:spPr>
                          <a:xfrm>
                            <a:off x="0" y="0"/>
                            <a:ext cx="5854865" cy="293370"/>
                          </a:xfrm>
                          <a:prstGeom prst="rect">
                            <a:avLst/>
                          </a:prstGeom>
                        </pic:spPr>
                      </pic:pic>
                      <pic:pic xmlns:pic="http://schemas.openxmlformats.org/drawingml/2006/picture">
                        <pic:nvPicPr>
                          <pic:cNvPr id="2654" name="Picture 2654"/>
                          <pic:cNvPicPr/>
                        </pic:nvPicPr>
                        <pic:blipFill>
                          <a:blip r:embed="rId14"/>
                          <a:stretch>
                            <a:fillRect/>
                          </a:stretch>
                        </pic:blipFill>
                        <pic:spPr>
                          <a:xfrm>
                            <a:off x="0" y="293370"/>
                            <a:ext cx="5854865" cy="293370"/>
                          </a:xfrm>
                          <a:prstGeom prst="rect">
                            <a:avLst/>
                          </a:prstGeom>
                        </pic:spPr>
                      </pic:pic>
                      <pic:pic xmlns:pic="http://schemas.openxmlformats.org/drawingml/2006/picture">
                        <pic:nvPicPr>
                          <pic:cNvPr id="2656" name="Picture 2656"/>
                          <pic:cNvPicPr/>
                        </pic:nvPicPr>
                        <pic:blipFill>
                          <a:blip r:embed="rId15"/>
                          <a:stretch>
                            <a:fillRect/>
                          </a:stretch>
                        </pic:blipFill>
                        <pic:spPr>
                          <a:xfrm>
                            <a:off x="0" y="586740"/>
                            <a:ext cx="5854865" cy="293370"/>
                          </a:xfrm>
                          <a:prstGeom prst="rect">
                            <a:avLst/>
                          </a:prstGeom>
                        </pic:spPr>
                      </pic:pic>
                      <pic:pic xmlns:pic="http://schemas.openxmlformats.org/drawingml/2006/picture">
                        <pic:nvPicPr>
                          <pic:cNvPr id="2658" name="Picture 2658"/>
                          <pic:cNvPicPr/>
                        </pic:nvPicPr>
                        <pic:blipFill>
                          <a:blip r:embed="rId16"/>
                          <a:stretch>
                            <a:fillRect/>
                          </a:stretch>
                        </pic:blipFill>
                        <pic:spPr>
                          <a:xfrm>
                            <a:off x="0" y="880111"/>
                            <a:ext cx="5854865" cy="293370"/>
                          </a:xfrm>
                          <a:prstGeom prst="rect">
                            <a:avLst/>
                          </a:prstGeom>
                        </pic:spPr>
                      </pic:pic>
                      <pic:pic xmlns:pic="http://schemas.openxmlformats.org/drawingml/2006/picture">
                        <pic:nvPicPr>
                          <pic:cNvPr id="2660" name="Picture 2660"/>
                          <pic:cNvPicPr/>
                        </pic:nvPicPr>
                        <pic:blipFill>
                          <a:blip r:embed="rId17"/>
                          <a:stretch>
                            <a:fillRect/>
                          </a:stretch>
                        </pic:blipFill>
                        <pic:spPr>
                          <a:xfrm>
                            <a:off x="0" y="1173480"/>
                            <a:ext cx="5854865" cy="293370"/>
                          </a:xfrm>
                          <a:prstGeom prst="rect">
                            <a:avLst/>
                          </a:prstGeom>
                        </pic:spPr>
                      </pic:pic>
                      <pic:pic xmlns:pic="http://schemas.openxmlformats.org/drawingml/2006/picture">
                        <pic:nvPicPr>
                          <pic:cNvPr id="2662" name="Picture 2662"/>
                          <pic:cNvPicPr/>
                        </pic:nvPicPr>
                        <pic:blipFill>
                          <a:blip r:embed="rId18"/>
                          <a:stretch>
                            <a:fillRect/>
                          </a:stretch>
                        </pic:blipFill>
                        <pic:spPr>
                          <a:xfrm>
                            <a:off x="0" y="1466850"/>
                            <a:ext cx="5854865" cy="293370"/>
                          </a:xfrm>
                          <a:prstGeom prst="rect">
                            <a:avLst/>
                          </a:prstGeom>
                        </pic:spPr>
                      </pic:pic>
                      <pic:pic xmlns:pic="http://schemas.openxmlformats.org/drawingml/2006/picture">
                        <pic:nvPicPr>
                          <pic:cNvPr id="2664" name="Picture 2664"/>
                          <pic:cNvPicPr/>
                        </pic:nvPicPr>
                        <pic:blipFill>
                          <a:blip r:embed="rId19"/>
                          <a:stretch>
                            <a:fillRect/>
                          </a:stretch>
                        </pic:blipFill>
                        <pic:spPr>
                          <a:xfrm>
                            <a:off x="0" y="1760221"/>
                            <a:ext cx="5854865" cy="293370"/>
                          </a:xfrm>
                          <a:prstGeom prst="rect">
                            <a:avLst/>
                          </a:prstGeom>
                        </pic:spPr>
                      </pic:pic>
                      <pic:pic xmlns:pic="http://schemas.openxmlformats.org/drawingml/2006/picture">
                        <pic:nvPicPr>
                          <pic:cNvPr id="2666" name="Picture 2666"/>
                          <pic:cNvPicPr/>
                        </pic:nvPicPr>
                        <pic:blipFill>
                          <a:blip r:embed="rId20"/>
                          <a:stretch>
                            <a:fillRect/>
                          </a:stretch>
                        </pic:blipFill>
                        <pic:spPr>
                          <a:xfrm>
                            <a:off x="0" y="2053590"/>
                            <a:ext cx="5854865" cy="293370"/>
                          </a:xfrm>
                          <a:prstGeom prst="rect">
                            <a:avLst/>
                          </a:prstGeom>
                        </pic:spPr>
                      </pic:pic>
                      <pic:pic xmlns:pic="http://schemas.openxmlformats.org/drawingml/2006/picture">
                        <pic:nvPicPr>
                          <pic:cNvPr id="2668" name="Picture 2668"/>
                          <pic:cNvPicPr/>
                        </pic:nvPicPr>
                        <pic:blipFill>
                          <a:blip r:embed="rId21"/>
                          <a:stretch>
                            <a:fillRect/>
                          </a:stretch>
                        </pic:blipFill>
                        <pic:spPr>
                          <a:xfrm>
                            <a:off x="0" y="2346960"/>
                            <a:ext cx="5854865" cy="293370"/>
                          </a:xfrm>
                          <a:prstGeom prst="rect">
                            <a:avLst/>
                          </a:prstGeom>
                        </pic:spPr>
                      </pic:pic>
                      <pic:pic xmlns:pic="http://schemas.openxmlformats.org/drawingml/2006/picture">
                        <pic:nvPicPr>
                          <pic:cNvPr id="2670" name="Picture 2670"/>
                          <pic:cNvPicPr/>
                        </pic:nvPicPr>
                        <pic:blipFill>
                          <a:blip r:embed="rId22"/>
                          <a:stretch>
                            <a:fillRect/>
                          </a:stretch>
                        </pic:blipFill>
                        <pic:spPr>
                          <a:xfrm>
                            <a:off x="0" y="2640330"/>
                            <a:ext cx="5854865" cy="293370"/>
                          </a:xfrm>
                          <a:prstGeom prst="rect">
                            <a:avLst/>
                          </a:prstGeom>
                        </pic:spPr>
                      </pic:pic>
                      <pic:pic xmlns:pic="http://schemas.openxmlformats.org/drawingml/2006/picture">
                        <pic:nvPicPr>
                          <pic:cNvPr id="2672" name="Picture 2672"/>
                          <pic:cNvPicPr/>
                        </pic:nvPicPr>
                        <pic:blipFill>
                          <a:blip r:embed="rId23"/>
                          <a:stretch>
                            <a:fillRect/>
                          </a:stretch>
                        </pic:blipFill>
                        <pic:spPr>
                          <a:xfrm>
                            <a:off x="0" y="2933701"/>
                            <a:ext cx="5854865" cy="293370"/>
                          </a:xfrm>
                          <a:prstGeom prst="rect">
                            <a:avLst/>
                          </a:prstGeom>
                        </pic:spPr>
                      </pic:pic>
                      <pic:pic xmlns:pic="http://schemas.openxmlformats.org/drawingml/2006/picture">
                        <pic:nvPicPr>
                          <pic:cNvPr id="2674" name="Picture 2674"/>
                          <pic:cNvPicPr/>
                        </pic:nvPicPr>
                        <pic:blipFill>
                          <a:blip r:embed="rId24"/>
                          <a:stretch>
                            <a:fillRect/>
                          </a:stretch>
                        </pic:blipFill>
                        <pic:spPr>
                          <a:xfrm>
                            <a:off x="0" y="3227071"/>
                            <a:ext cx="5854865" cy="293370"/>
                          </a:xfrm>
                          <a:prstGeom prst="rect">
                            <a:avLst/>
                          </a:prstGeom>
                        </pic:spPr>
                      </pic:pic>
                      <pic:pic xmlns:pic="http://schemas.openxmlformats.org/drawingml/2006/picture">
                        <pic:nvPicPr>
                          <pic:cNvPr id="2676" name="Picture 2676"/>
                          <pic:cNvPicPr/>
                        </pic:nvPicPr>
                        <pic:blipFill>
                          <a:blip r:embed="rId25"/>
                          <a:stretch>
                            <a:fillRect/>
                          </a:stretch>
                        </pic:blipFill>
                        <pic:spPr>
                          <a:xfrm>
                            <a:off x="0" y="3520441"/>
                            <a:ext cx="5854865" cy="293370"/>
                          </a:xfrm>
                          <a:prstGeom prst="rect">
                            <a:avLst/>
                          </a:prstGeom>
                        </pic:spPr>
                      </pic:pic>
                      <pic:pic xmlns:pic="http://schemas.openxmlformats.org/drawingml/2006/picture">
                        <pic:nvPicPr>
                          <pic:cNvPr id="2678" name="Picture 2678"/>
                          <pic:cNvPicPr/>
                        </pic:nvPicPr>
                        <pic:blipFill>
                          <a:blip r:embed="rId26"/>
                          <a:stretch>
                            <a:fillRect/>
                          </a:stretch>
                        </pic:blipFill>
                        <pic:spPr>
                          <a:xfrm>
                            <a:off x="0" y="3813810"/>
                            <a:ext cx="5854865" cy="293370"/>
                          </a:xfrm>
                          <a:prstGeom prst="rect">
                            <a:avLst/>
                          </a:prstGeom>
                        </pic:spPr>
                      </pic:pic>
                      <pic:pic xmlns:pic="http://schemas.openxmlformats.org/drawingml/2006/picture">
                        <pic:nvPicPr>
                          <pic:cNvPr id="2680" name="Picture 2680"/>
                          <pic:cNvPicPr/>
                        </pic:nvPicPr>
                        <pic:blipFill>
                          <a:blip r:embed="rId27"/>
                          <a:stretch>
                            <a:fillRect/>
                          </a:stretch>
                        </pic:blipFill>
                        <pic:spPr>
                          <a:xfrm>
                            <a:off x="0" y="4107180"/>
                            <a:ext cx="5854865" cy="293370"/>
                          </a:xfrm>
                          <a:prstGeom prst="rect">
                            <a:avLst/>
                          </a:prstGeom>
                        </pic:spPr>
                      </pic:pic>
                      <pic:pic xmlns:pic="http://schemas.openxmlformats.org/drawingml/2006/picture">
                        <pic:nvPicPr>
                          <pic:cNvPr id="2682" name="Picture 2682"/>
                          <pic:cNvPicPr/>
                        </pic:nvPicPr>
                        <pic:blipFill>
                          <a:blip r:embed="rId28"/>
                          <a:stretch>
                            <a:fillRect/>
                          </a:stretch>
                        </pic:blipFill>
                        <pic:spPr>
                          <a:xfrm>
                            <a:off x="0" y="4400551"/>
                            <a:ext cx="5854865" cy="293370"/>
                          </a:xfrm>
                          <a:prstGeom prst="rect">
                            <a:avLst/>
                          </a:prstGeom>
                        </pic:spPr>
                      </pic:pic>
                      <pic:pic xmlns:pic="http://schemas.openxmlformats.org/drawingml/2006/picture">
                        <pic:nvPicPr>
                          <pic:cNvPr id="2684" name="Picture 2684"/>
                          <pic:cNvPicPr/>
                        </pic:nvPicPr>
                        <pic:blipFill>
                          <a:blip r:embed="rId29"/>
                          <a:stretch>
                            <a:fillRect/>
                          </a:stretch>
                        </pic:blipFill>
                        <pic:spPr>
                          <a:xfrm>
                            <a:off x="0" y="4693921"/>
                            <a:ext cx="5854865" cy="293370"/>
                          </a:xfrm>
                          <a:prstGeom prst="rect">
                            <a:avLst/>
                          </a:prstGeom>
                        </pic:spPr>
                      </pic:pic>
                      <pic:pic xmlns:pic="http://schemas.openxmlformats.org/drawingml/2006/picture">
                        <pic:nvPicPr>
                          <pic:cNvPr id="2686" name="Picture 2686"/>
                          <pic:cNvPicPr/>
                        </pic:nvPicPr>
                        <pic:blipFill>
                          <a:blip r:embed="rId30"/>
                          <a:stretch>
                            <a:fillRect/>
                          </a:stretch>
                        </pic:blipFill>
                        <pic:spPr>
                          <a:xfrm>
                            <a:off x="0" y="4987291"/>
                            <a:ext cx="5854865" cy="293370"/>
                          </a:xfrm>
                          <a:prstGeom prst="rect">
                            <a:avLst/>
                          </a:prstGeom>
                        </pic:spPr>
                      </pic:pic>
                      <pic:pic xmlns:pic="http://schemas.openxmlformats.org/drawingml/2006/picture">
                        <pic:nvPicPr>
                          <pic:cNvPr id="2688" name="Picture 2688"/>
                          <pic:cNvPicPr/>
                        </pic:nvPicPr>
                        <pic:blipFill>
                          <a:blip r:embed="rId31"/>
                          <a:stretch>
                            <a:fillRect/>
                          </a:stretch>
                        </pic:blipFill>
                        <pic:spPr>
                          <a:xfrm>
                            <a:off x="0" y="5280661"/>
                            <a:ext cx="5854865" cy="293370"/>
                          </a:xfrm>
                          <a:prstGeom prst="rect">
                            <a:avLst/>
                          </a:prstGeom>
                        </pic:spPr>
                      </pic:pic>
                      <pic:pic xmlns:pic="http://schemas.openxmlformats.org/drawingml/2006/picture">
                        <pic:nvPicPr>
                          <pic:cNvPr id="2690" name="Picture 2690"/>
                          <pic:cNvPicPr/>
                        </pic:nvPicPr>
                        <pic:blipFill>
                          <a:blip r:embed="rId32"/>
                          <a:stretch>
                            <a:fillRect/>
                          </a:stretch>
                        </pic:blipFill>
                        <pic:spPr>
                          <a:xfrm>
                            <a:off x="0" y="5574031"/>
                            <a:ext cx="5854865" cy="293370"/>
                          </a:xfrm>
                          <a:prstGeom prst="rect">
                            <a:avLst/>
                          </a:prstGeom>
                        </pic:spPr>
                      </pic:pic>
                      <pic:pic xmlns:pic="http://schemas.openxmlformats.org/drawingml/2006/picture">
                        <pic:nvPicPr>
                          <pic:cNvPr id="2692" name="Picture 2692"/>
                          <pic:cNvPicPr/>
                        </pic:nvPicPr>
                        <pic:blipFill>
                          <a:blip r:embed="rId33"/>
                          <a:stretch>
                            <a:fillRect/>
                          </a:stretch>
                        </pic:blipFill>
                        <pic:spPr>
                          <a:xfrm>
                            <a:off x="0" y="5867401"/>
                            <a:ext cx="5854865" cy="293370"/>
                          </a:xfrm>
                          <a:prstGeom prst="rect">
                            <a:avLst/>
                          </a:prstGeom>
                        </pic:spPr>
                      </pic:pic>
                      <pic:pic xmlns:pic="http://schemas.openxmlformats.org/drawingml/2006/picture">
                        <pic:nvPicPr>
                          <pic:cNvPr id="2694" name="Picture 2694"/>
                          <pic:cNvPicPr/>
                        </pic:nvPicPr>
                        <pic:blipFill>
                          <a:blip r:embed="rId34"/>
                          <a:stretch>
                            <a:fillRect/>
                          </a:stretch>
                        </pic:blipFill>
                        <pic:spPr>
                          <a:xfrm>
                            <a:off x="0" y="6160771"/>
                            <a:ext cx="5854865" cy="293370"/>
                          </a:xfrm>
                          <a:prstGeom prst="rect">
                            <a:avLst/>
                          </a:prstGeom>
                        </pic:spPr>
                      </pic:pic>
                      <pic:pic xmlns:pic="http://schemas.openxmlformats.org/drawingml/2006/picture">
                        <pic:nvPicPr>
                          <pic:cNvPr id="2696" name="Picture 2696"/>
                          <pic:cNvPicPr/>
                        </pic:nvPicPr>
                        <pic:blipFill>
                          <a:blip r:embed="rId35"/>
                          <a:stretch>
                            <a:fillRect/>
                          </a:stretch>
                        </pic:blipFill>
                        <pic:spPr>
                          <a:xfrm>
                            <a:off x="0" y="6454141"/>
                            <a:ext cx="5854865" cy="293370"/>
                          </a:xfrm>
                          <a:prstGeom prst="rect">
                            <a:avLst/>
                          </a:prstGeom>
                        </pic:spPr>
                      </pic:pic>
                      <pic:pic xmlns:pic="http://schemas.openxmlformats.org/drawingml/2006/picture">
                        <pic:nvPicPr>
                          <pic:cNvPr id="2698" name="Picture 2698"/>
                          <pic:cNvPicPr/>
                        </pic:nvPicPr>
                        <pic:blipFill>
                          <a:blip r:embed="rId36"/>
                          <a:stretch>
                            <a:fillRect/>
                          </a:stretch>
                        </pic:blipFill>
                        <pic:spPr>
                          <a:xfrm>
                            <a:off x="0" y="6747511"/>
                            <a:ext cx="5854865" cy="293370"/>
                          </a:xfrm>
                          <a:prstGeom prst="rect">
                            <a:avLst/>
                          </a:prstGeom>
                        </pic:spPr>
                      </pic:pic>
                      <pic:pic xmlns:pic="http://schemas.openxmlformats.org/drawingml/2006/picture">
                        <pic:nvPicPr>
                          <pic:cNvPr id="2700" name="Picture 2700"/>
                          <pic:cNvPicPr/>
                        </pic:nvPicPr>
                        <pic:blipFill>
                          <a:blip r:embed="rId37"/>
                          <a:stretch>
                            <a:fillRect/>
                          </a:stretch>
                        </pic:blipFill>
                        <pic:spPr>
                          <a:xfrm>
                            <a:off x="0" y="7040881"/>
                            <a:ext cx="5854865" cy="293370"/>
                          </a:xfrm>
                          <a:prstGeom prst="rect">
                            <a:avLst/>
                          </a:prstGeom>
                        </pic:spPr>
                      </pic:pic>
                      <pic:pic xmlns:pic="http://schemas.openxmlformats.org/drawingml/2006/picture">
                        <pic:nvPicPr>
                          <pic:cNvPr id="2702" name="Picture 2702"/>
                          <pic:cNvPicPr/>
                        </pic:nvPicPr>
                        <pic:blipFill>
                          <a:blip r:embed="rId38"/>
                          <a:stretch>
                            <a:fillRect/>
                          </a:stretch>
                        </pic:blipFill>
                        <pic:spPr>
                          <a:xfrm>
                            <a:off x="0" y="7334250"/>
                            <a:ext cx="5854865" cy="293370"/>
                          </a:xfrm>
                          <a:prstGeom prst="rect">
                            <a:avLst/>
                          </a:prstGeom>
                        </pic:spPr>
                      </pic:pic>
                      <pic:pic xmlns:pic="http://schemas.openxmlformats.org/drawingml/2006/picture">
                        <pic:nvPicPr>
                          <pic:cNvPr id="2704" name="Picture 2704"/>
                          <pic:cNvPicPr/>
                        </pic:nvPicPr>
                        <pic:blipFill>
                          <a:blip r:embed="rId39"/>
                          <a:stretch>
                            <a:fillRect/>
                          </a:stretch>
                        </pic:blipFill>
                        <pic:spPr>
                          <a:xfrm>
                            <a:off x="0" y="7627621"/>
                            <a:ext cx="5854865" cy="288036"/>
                          </a:xfrm>
                          <a:prstGeom prst="rect">
                            <a:avLst/>
                          </a:prstGeom>
                        </pic:spPr>
                      </pic:pic>
                    </wpg:wgp>
                  </a:graphicData>
                </a:graphic>
              </wp:inline>
            </w:drawing>
          </mc:Choice>
          <mc:Fallback xmlns:a="http://schemas.openxmlformats.org/drawingml/2006/main">
            <w:pict>
              <v:group id="Group 53744" style="width:461.013pt;height:623.28pt;mso-position-horizontal-relative:char;mso-position-vertical-relative:line" coordsize="58548,79156">
                <v:shape id="Picture 2652" style="position:absolute;width:58548;height:2933;left:0;top:0;" filled="f">
                  <v:imagedata r:id="rId40"/>
                </v:shape>
                <v:shape id="Picture 2654" style="position:absolute;width:58548;height:2933;left:0;top:2933;" filled="f">
                  <v:imagedata r:id="rId41"/>
                </v:shape>
                <v:shape id="Picture 2656" style="position:absolute;width:58548;height:2933;left:0;top:5867;" filled="f">
                  <v:imagedata r:id="rId42"/>
                </v:shape>
                <v:shape id="Picture 2658" style="position:absolute;width:58548;height:2933;left:0;top:8801;" filled="f">
                  <v:imagedata r:id="rId43"/>
                </v:shape>
                <v:shape id="Picture 2660" style="position:absolute;width:58548;height:2933;left:0;top:11734;" filled="f">
                  <v:imagedata r:id="rId44"/>
                </v:shape>
                <v:shape id="Picture 2662" style="position:absolute;width:58548;height:2933;left:0;top:14668;" filled="f">
                  <v:imagedata r:id="rId45"/>
                </v:shape>
                <v:shape id="Picture 2664" style="position:absolute;width:58548;height:2933;left:0;top:17602;" filled="f">
                  <v:imagedata r:id="rId46"/>
                </v:shape>
                <v:shape id="Picture 2666" style="position:absolute;width:58548;height:2933;left:0;top:20535;" filled="f">
                  <v:imagedata r:id="rId47"/>
                </v:shape>
                <v:shape id="Picture 2668" style="position:absolute;width:58548;height:2933;left:0;top:23469;" filled="f">
                  <v:imagedata r:id="rId48"/>
                </v:shape>
                <v:shape id="Picture 2670" style="position:absolute;width:58548;height:2933;left:0;top:26403;" filled="f">
                  <v:imagedata r:id="rId49"/>
                </v:shape>
                <v:shape id="Picture 2672" style="position:absolute;width:58548;height:2933;left:0;top:29337;" filled="f">
                  <v:imagedata r:id="rId50"/>
                </v:shape>
                <v:shape id="Picture 2674" style="position:absolute;width:58548;height:2933;left:0;top:32270;" filled="f">
                  <v:imagedata r:id="rId51"/>
                </v:shape>
                <v:shape id="Picture 2676" style="position:absolute;width:58548;height:2933;left:0;top:35204;" filled="f">
                  <v:imagedata r:id="rId52"/>
                </v:shape>
                <v:shape id="Picture 2678" style="position:absolute;width:58548;height:2933;left:0;top:38138;" filled="f">
                  <v:imagedata r:id="rId53"/>
                </v:shape>
                <v:shape id="Picture 2680" style="position:absolute;width:58548;height:2933;left:0;top:41071;" filled="f">
                  <v:imagedata r:id="rId54"/>
                </v:shape>
                <v:shape id="Picture 2682" style="position:absolute;width:58548;height:2933;left:0;top:44005;" filled="f">
                  <v:imagedata r:id="rId55"/>
                </v:shape>
                <v:shape id="Picture 2684" style="position:absolute;width:58548;height:2933;left:0;top:46939;" filled="f">
                  <v:imagedata r:id="rId56"/>
                </v:shape>
                <v:shape id="Picture 2686" style="position:absolute;width:58548;height:2933;left:0;top:49872;" filled="f">
                  <v:imagedata r:id="rId57"/>
                </v:shape>
                <v:shape id="Picture 2688" style="position:absolute;width:58548;height:2933;left:0;top:52806;" filled="f">
                  <v:imagedata r:id="rId58"/>
                </v:shape>
                <v:shape id="Picture 2690" style="position:absolute;width:58548;height:2933;left:0;top:55740;" filled="f">
                  <v:imagedata r:id="rId59"/>
                </v:shape>
                <v:shape id="Picture 2692" style="position:absolute;width:58548;height:2933;left:0;top:58674;" filled="f">
                  <v:imagedata r:id="rId60"/>
                </v:shape>
                <v:shape id="Picture 2694" style="position:absolute;width:58548;height:2933;left:0;top:61607;" filled="f">
                  <v:imagedata r:id="rId61"/>
                </v:shape>
                <v:shape id="Picture 2696" style="position:absolute;width:58548;height:2933;left:0;top:64541;" filled="f">
                  <v:imagedata r:id="rId62"/>
                </v:shape>
                <v:shape id="Picture 2698" style="position:absolute;width:58548;height:2933;left:0;top:67475;" filled="f">
                  <v:imagedata r:id="rId63"/>
                </v:shape>
                <v:shape id="Picture 2700" style="position:absolute;width:58548;height:2933;left:0;top:70408;" filled="f">
                  <v:imagedata r:id="rId64"/>
                </v:shape>
                <v:shape id="Picture 2702" style="position:absolute;width:58548;height:2933;left:0;top:73342;" filled="f">
                  <v:imagedata r:id="rId65"/>
                </v:shape>
                <v:shape id="Picture 2704" style="position:absolute;width:58548;height:2880;left:0;top:76276;" filled="f">
                  <v:imagedata r:id="rId66"/>
                </v:shape>
              </v:group>
            </w:pict>
          </mc:Fallback>
        </mc:AlternateContent>
      </w:r>
      <w:r>
        <w:t xml:space="preserve"> </w:t>
      </w:r>
    </w:p>
    <w:p w:rsidR="00C25E94" w:rsidRDefault="00AA21AD">
      <w:pPr>
        <w:numPr>
          <w:ilvl w:val="0"/>
          <w:numId w:val="12"/>
        </w:numPr>
        <w:spacing w:after="143"/>
        <w:ind w:right="43" w:hanging="719"/>
      </w:pPr>
      <w:r>
        <w:t xml:space="preserve">(LO 7, 8)  The completed Form 4626 for Blue Bird Corporation follows: </w:t>
      </w:r>
    </w:p>
    <w:p w:rsidR="00C25E94" w:rsidRDefault="00AA21AD">
      <w:pPr>
        <w:spacing w:after="0" w:line="259" w:lineRule="auto"/>
        <w:ind w:left="0" w:right="0" w:firstLine="0"/>
        <w:jc w:val="right"/>
      </w:pPr>
      <w:r>
        <w:rPr>
          <w:rFonts w:ascii="Calibri" w:eastAsia="Calibri" w:hAnsi="Calibri" w:cs="Calibri"/>
          <w:noProof/>
        </w:rPr>
        <w:lastRenderedPageBreak/>
        <mc:AlternateContent>
          <mc:Choice Requires="wpg">
            <w:drawing>
              <wp:inline distT="0" distB="0" distL="0" distR="0">
                <wp:extent cx="6173559" cy="7931659"/>
                <wp:effectExtent l="0" t="0" r="0" b="0"/>
                <wp:docPr id="53810" name="Group 53810"/>
                <wp:cNvGraphicFramePr/>
                <a:graphic xmlns:a="http://schemas.openxmlformats.org/drawingml/2006/main">
                  <a:graphicData uri="http://schemas.microsoft.com/office/word/2010/wordprocessingGroup">
                    <wpg:wgp>
                      <wpg:cNvGrpSpPr/>
                      <wpg:grpSpPr>
                        <a:xfrm>
                          <a:off x="0" y="0"/>
                          <a:ext cx="6173559" cy="7931659"/>
                          <a:chOff x="0" y="0"/>
                          <a:chExt cx="6173559" cy="7931659"/>
                        </a:xfrm>
                      </wpg:grpSpPr>
                      <pic:pic xmlns:pic="http://schemas.openxmlformats.org/drawingml/2006/picture">
                        <pic:nvPicPr>
                          <pic:cNvPr id="2719" name="Picture 2719"/>
                          <pic:cNvPicPr/>
                        </pic:nvPicPr>
                        <pic:blipFill>
                          <a:blip r:embed="rId67"/>
                          <a:stretch>
                            <a:fillRect/>
                          </a:stretch>
                        </pic:blipFill>
                        <pic:spPr>
                          <a:xfrm>
                            <a:off x="0" y="0"/>
                            <a:ext cx="6173559" cy="305562"/>
                          </a:xfrm>
                          <a:prstGeom prst="rect">
                            <a:avLst/>
                          </a:prstGeom>
                        </pic:spPr>
                      </pic:pic>
                      <pic:pic xmlns:pic="http://schemas.openxmlformats.org/drawingml/2006/picture">
                        <pic:nvPicPr>
                          <pic:cNvPr id="2721" name="Picture 2721"/>
                          <pic:cNvPicPr/>
                        </pic:nvPicPr>
                        <pic:blipFill>
                          <a:blip r:embed="rId68"/>
                          <a:stretch>
                            <a:fillRect/>
                          </a:stretch>
                        </pic:blipFill>
                        <pic:spPr>
                          <a:xfrm>
                            <a:off x="0" y="305562"/>
                            <a:ext cx="6173559" cy="305562"/>
                          </a:xfrm>
                          <a:prstGeom prst="rect">
                            <a:avLst/>
                          </a:prstGeom>
                        </pic:spPr>
                      </pic:pic>
                      <pic:pic xmlns:pic="http://schemas.openxmlformats.org/drawingml/2006/picture">
                        <pic:nvPicPr>
                          <pic:cNvPr id="2723" name="Picture 2723"/>
                          <pic:cNvPicPr/>
                        </pic:nvPicPr>
                        <pic:blipFill>
                          <a:blip r:embed="rId69"/>
                          <a:stretch>
                            <a:fillRect/>
                          </a:stretch>
                        </pic:blipFill>
                        <pic:spPr>
                          <a:xfrm>
                            <a:off x="0" y="611124"/>
                            <a:ext cx="6173559" cy="305562"/>
                          </a:xfrm>
                          <a:prstGeom prst="rect">
                            <a:avLst/>
                          </a:prstGeom>
                        </pic:spPr>
                      </pic:pic>
                      <pic:pic xmlns:pic="http://schemas.openxmlformats.org/drawingml/2006/picture">
                        <pic:nvPicPr>
                          <pic:cNvPr id="2725" name="Picture 2725"/>
                          <pic:cNvPicPr/>
                        </pic:nvPicPr>
                        <pic:blipFill>
                          <a:blip r:embed="rId70"/>
                          <a:stretch>
                            <a:fillRect/>
                          </a:stretch>
                        </pic:blipFill>
                        <pic:spPr>
                          <a:xfrm>
                            <a:off x="0" y="916686"/>
                            <a:ext cx="6173559" cy="305562"/>
                          </a:xfrm>
                          <a:prstGeom prst="rect">
                            <a:avLst/>
                          </a:prstGeom>
                        </pic:spPr>
                      </pic:pic>
                      <pic:pic xmlns:pic="http://schemas.openxmlformats.org/drawingml/2006/picture">
                        <pic:nvPicPr>
                          <pic:cNvPr id="2727" name="Picture 2727"/>
                          <pic:cNvPicPr/>
                        </pic:nvPicPr>
                        <pic:blipFill>
                          <a:blip r:embed="rId71"/>
                          <a:stretch>
                            <a:fillRect/>
                          </a:stretch>
                        </pic:blipFill>
                        <pic:spPr>
                          <a:xfrm>
                            <a:off x="0" y="1222248"/>
                            <a:ext cx="6173559" cy="305562"/>
                          </a:xfrm>
                          <a:prstGeom prst="rect">
                            <a:avLst/>
                          </a:prstGeom>
                        </pic:spPr>
                      </pic:pic>
                      <pic:pic xmlns:pic="http://schemas.openxmlformats.org/drawingml/2006/picture">
                        <pic:nvPicPr>
                          <pic:cNvPr id="2729" name="Picture 2729"/>
                          <pic:cNvPicPr/>
                        </pic:nvPicPr>
                        <pic:blipFill>
                          <a:blip r:embed="rId72"/>
                          <a:stretch>
                            <a:fillRect/>
                          </a:stretch>
                        </pic:blipFill>
                        <pic:spPr>
                          <a:xfrm>
                            <a:off x="0" y="1527810"/>
                            <a:ext cx="6173559" cy="305562"/>
                          </a:xfrm>
                          <a:prstGeom prst="rect">
                            <a:avLst/>
                          </a:prstGeom>
                        </pic:spPr>
                      </pic:pic>
                      <pic:pic xmlns:pic="http://schemas.openxmlformats.org/drawingml/2006/picture">
                        <pic:nvPicPr>
                          <pic:cNvPr id="2731" name="Picture 2731"/>
                          <pic:cNvPicPr/>
                        </pic:nvPicPr>
                        <pic:blipFill>
                          <a:blip r:embed="rId73"/>
                          <a:stretch>
                            <a:fillRect/>
                          </a:stretch>
                        </pic:blipFill>
                        <pic:spPr>
                          <a:xfrm>
                            <a:off x="0" y="1833372"/>
                            <a:ext cx="6173559" cy="305562"/>
                          </a:xfrm>
                          <a:prstGeom prst="rect">
                            <a:avLst/>
                          </a:prstGeom>
                        </pic:spPr>
                      </pic:pic>
                      <pic:pic xmlns:pic="http://schemas.openxmlformats.org/drawingml/2006/picture">
                        <pic:nvPicPr>
                          <pic:cNvPr id="2733" name="Picture 2733"/>
                          <pic:cNvPicPr/>
                        </pic:nvPicPr>
                        <pic:blipFill>
                          <a:blip r:embed="rId74"/>
                          <a:stretch>
                            <a:fillRect/>
                          </a:stretch>
                        </pic:blipFill>
                        <pic:spPr>
                          <a:xfrm>
                            <a:off x="0" y="2138934"/>
                            <a:ext cx="6173559" cy="305562"/>
                          </a:xfrm>
                          <a:prstGeom prst="rect">
                            <a:avLst/>
                          </a:prstGeom>
                        </pic:spPr>
                      </pic:pic>
                      <pic:pic xmlns:pic="http://schemas.openxmlformats.org/drawingml/2006/picture">
                        <pic:nvPicPr>
                          <pic:cNvPr id="2735" name="Picture 2735"/>
                          <pic:cNvPicPr/>
                        </pic:nvPicPr>
                        <pic:blipFill>
                          <a:blip r:embed="rId75"/>
                          <a:stretch>
                            <a:fillRect/>
                          </a:stretch>
                        </pic:blipFill>
                        <pic:spPr>
                          <a:xfrm>
                            <a:off x="0" y="2444496"/>
                            <a:ext cx="6173559" cy="305562"/>
                          </a:xfrm>
                          <a:prstGeom prst="rect">
                            <a:avLst/>
                          </a:prstGeom>
                        </pic:spPr>
                      </pic:pic>
                      <pic:pic xmlns:pic="http://schemas.openxmlformats.org/drawingml/2006/picture">
                        <pic:nvPicPr>
                          <pic:cNvPr id="2737" name="Picture 2737"/>
                          <pic:cNvPicPr/>
                        </pic:nvPicPr>
                        <pic:blipFill>
                          <a:blip r:embed="rId76"/>
                          <a:stretch>
                            <a:fillRect/>
                          </a:stretch>
                        </pic:blipFill>
                        <pic:spPr>
                          <a:xfrm>
                            <a:off x="0" y="2750058"/>
                            <a:ext cx="6173559" cy="305562"/>
                          </a:xfrm>
                          <a:prstGeom prst="rect">
                            <a:avLst/>
                          </a:prstGeom>
                        </pic:spPr>
                      </pic:pic>
                      <pic:pic xmlns:pic="http://schemas.openxmlformats.org/drawingml/2006/picture">
                        <pic:nvPicPr>
                          <pic:cNvPr id="2739" name="Picture 2739"/>
                          <pic:cNvPicPr/>
                        </pic:nvPicPr>
                        <pic:blipFill>
                          <a:blip r:embed="rId77"/>
                          <a:stretch>
                            <a:fillRect/>
                          </a:stretch>
                        </pic:blipFill>
                        <pic:spPr>
                          <a:xfrm>
                            <a:off x="0" y="3055620"/>
                            <a:ext cx="6173559" cy="305562"/>
                          </a:xfrm>
                          <a:prstGeom prst="rect">
                            <a:avLst/>
                          </a:prstGeom>
                        </pic:spPr>
                      </pic:pic>
                      <pic:pic xmlns:pic="http://schemas.openxmlformats.org/drawingml/2006/picture">
                        <pic:nvPicPr>
                          <pic:cNvPr id="2741" name="Picture 2741"/>
                          <pic:cNvPicPr/>
                        </pic:nvPicPr>
                        <pic:blipFill>
                          <a:blip r:embed="rId78"/>
                          <a:stretch>
                            <a:fillRect/>
                          </a:stretch>
                        </pic:blipFill>
                        <pic:spPr>
                          <a:xfrm>
                            <a:off x="0" y="3361182"/>
                            <a:ext cx="6173559" cy="305562"/>
                          </a:xfrm>
                          <a:prstGeom prst="rect">
                            <a:avLst/>
                          </a:prstGeom>
                        </pic:spPr>
                      </pic:pic>
                      <pic:pic xmlns:pic="http://schemas.openxmlformats.org/drawingml/2006/picture">
                        <pic:nvPicPr>
                          <pic:cNvPr id="2743" name="Picture 2743"/>
                          <pic:cNvPicPr/>
                        </pic:nvPicPr>
                        <pic:blipFill>
                          <a:blip r:embed="rId79"/>
                          <a:stretch>
                            <a:fillRect/>
                          </a:stretch>
                        </pic:blipFill>
                        <pic:spPr>
                          <a:xfrm>
                            <a:off x="0" y="3666744"/>
                            <a:ext cx="6173559" cy="305562"/>
                          </a:xfrm>
                          <a:prstGeom prst="rect">
                            <a:avLst/>
                          </a:prstGeom>
                        </pic:spPr>
                      </pic:pic>
                      <pic:pic xmlns:pic="http://schemas.openxmlformats.org/drawingml/2006/picture">
                        <pic:nvPicPr>
                          <pic:cNvPr id="2745" name="Picture 2745"/>
                          <pic:cNvPicPr/>
                        </pic:nvPicPr>
                        <pic:blipFill>
                          <a:blip r:embed="rId80"/>
                          <a:stretch>
                            <a:fillRect/>
                          </a:stretch>
                        </pic:blipFill>
                        <pic:spPr>
                          <a:xfrm>
                            <a:off x="0" y="3972306"/>
                            <a:ext cx="6173559" cy="305562"/>
                          </a:xfrm>
                          <a:prstGeom prst="rect">
                            <a:avLst/>
                          </a:prstGeom>
                        </pic:spPr>
                      </pic:pic>
                      <pic:pic xmlns:pic="http://schemas.openxmlformats.org/drawingml/2006/picture">
                        <pic:nvPicPr>
                          <pic:cNvPr id="2747" name="Picture 2747"/>
                          <pic:cNvPicPr/>
                        </pic:nvPicPr>
                        <pic:blipFill>
                          <a:blip r:embed="rId81"/>
                          <a:stretch>
                            <a:fillRect/>
                          </a:stretch>
                        </pic:blipFill>
                        <pic:spPr>
                          <a:xfrm>
                            <a:off x="0" y="4277868"/>
                            <a:ext cx="6173559" cy="305562"/>
                          </a:xfrm>
                          <a:prstGeom prst="rect">
                            <a:avLst/>
                          </a:prstGeom>
                        </pic:spPr>
                      </pic:pic>
                      <pic:pic xmlns:pic="http://schemas.openxmlformats.org/drawingml/2006/picture">
                        <pic:nvPicPr>
                          <pic:cNvPr id="2749" name="Picture 2749"/>
                          <pic:cNvPicPr/>
                        </pic:nvPicPr>
                        <pic:blipFill>
                          <a:blip r:embed="rId82"/>
                          <a:stretch>
                            <a:fillRect/>
                          </a:stretch>
                        </pic:blipFill>
                        <pic:spPr>
                          <a:xfrm>
                            <a:off x="0" y="4583430"/>
                            <a:ext cx="6173559" cy="305562"/>
                          </a:xfrm>
                          <a:prstGeom prst="rect">
                            <a:avLst/>
                          </a:prstGeom>
                        </pic:spPr>
                      </pic:pic>
                      <pic:pic xmlns:pic="http://schemas.openxmlformats.org/drawingml/2006/picture">
                        <pic:nvPicPr>
                          <pic:cNvPr id="2751" name="Picture 2751"/>
                          <pic:cNvPicPr/>
                        </pic:nvPicPr>
                        <pic:blipFill>
                          <a:blip r:embed="rId83"/>
                          <a:stretch>
                            <a:fillRect/>
                          </a:stretch>
                        </pic:blipFill>
                        <pic:spPr>
                          <a:xfrm>
                            <a:off x="0" y="4888993"/>
                            <a:ext cx="6173559" cy="305562"/>
                          </a:xfrm>
                          <a:prstGeom prst="rect">
                            <a:avLst/>
                          </a:prstGeom>
                        </pic:spPr>
                      </pic:pic>
                      <pic:pic xmlns:pic="http://schemas.openxmlformats.org/drawingml/2006/picture">
                        <pic:nvPicPr>
                          <pic:cNvPr id="2753" name="Picture 2753"/>
                          <pic:cNvPicPr/>
                        </pic:nvPicPr>
                        <pic:blipFill>
                          <a:blip r:embed="rId84"/>
                          <a:stretch>
                            <a:fillRect/>
                          </a:stretch>
                        </pic:blipFill>
                        <pic:spPr>
                          <a:xfrm>
                            <a:off x="0" y="5194554"/>
                            <a:ext cx="6173559" cy="305562"/>
                          </a:xfrm>
                          <a:prstGeom prst="rect">
                            <a:avLst/>
                          </a:prstGeom>
                        </pic:spPr>
                      </pic:pic>
                      <pic:pic xmlns:pic="http://schemas.openxmlformats.org/drawingml/2006/picture">
                        <pic:nvPicPr>
                          <pic:cNvPr id="2755" name="Picture 2755"/>
                          <pic:cNvPicPr/>
                        </pic:nvPicPr>
                        <pic:blipFill>
                          <a:blip r:embed="rId85"/>
                          <a:stretch>
                            <a:fillRect/>
                          </a:stretch>
                        </pic:blipFill>
                        <pic:spPr>
                          <a:xfrm>
                            <a:off x="0" y="5500116"/>
                            <a:ext cx="6173559" cy="305562"/>
                          </a:xfrm>
                          <a:prstGeom prst="rect">
                            <a:avLst/>
                          </a:prstGeom>
                        </pic:spPr>
                      </pic:pic>
                      <pic:pic xmlns:pic="http://schemas.openxmlformats.org/drawingml/2006/picture">
                        <pic:nvPicPr>
                          <pic:cNvPr id="2757" name="Picture 2757"/>
                          <pic:cNvPicPr/>
                        </pic:nvPicPr>
                        <pic:blipFill>
                          <a:blip r:embed="rId86"/>
                          <a:stretch>
                            <a:fillRect/>
                          </a:stretch>
                        </pic:blipFill>
                        <pic:spPr>
                          <a:xfrm>
                            <a:off x="0" y="5805678"/>
                            <a:ext cx="6173559" cy="305562"/>
                          </a:xfrm>
                          <a:prstGeom prst="rect">
                            <a:avLst/>
                          </a:prstGeom>
                        </pic:spPr>
                      </pic:pic>
                      <pic:pic xmlns:pic="http://schemas.openxmlformats.org/drawingml/2006/picture">
                        <pic:nvPicPr>
                          <pic:cNvPr id="2759" name="Picture 2759"/>
                          <pic:cNvPicPr/>
                        </pic:nvPicPr>
                        <pic:blipFill>
                          <a:blip r:embed="rId87"/>
                          <a:stretch>
                            <a:fillRect/>
                          </a:stretch>
                        </pic:blipFill>
                        <pic:spPr>
                          <a:xfrm>
                            <a:off x="0" y="6111240"/>
                            <a:ext cx="6173559" cy="305562"/>
                          </a:xfrm>
                          <a:prstGeom prst="rect">
                            <a:avLst/>
                          </a:prstGeom>
                        </pic:spPr>
                      </pic:pic>
                      <pic:pic xmlns:pic="http://schemas.openxmlformats.org/drawingml/2006/picture">
                        <pic:nvPicPr>
                          <pic:cNvPr id="2761" name="Picture 2761"/>
                          <pic:cNvPicPr/>
                        </pic:nvPicPr>
                        <pic:blipFill>
                          <a:blip r:embed="rId88"/>
                          <a:stretch>
                            <a:fillRect/>
                          </a:stretch>
                        </pic:blipFill>
                        <pic:spPr>
                          <a:xfrm>
                            <a:off x="0" y="6416802"/>
                            <a:ext cx="6173559" cy="305562"/>
                          </a:xfrm>
                          <a:prstGeom prst="rect">
                            <a:avLst/>
                          </a:prstGeom>
                        </pic:spPr>
                      </pic:pic>
                      <pic:pic xmlns:pic="http://schemas.openxmlformats.org/drawingml/2006/picture">
                        <pic:nvPicPr>
                          <pic:cNvPr id="2763" name="Picture 2763"/>
                          <pic:cNvPicPr/>
                        </pic:nvPicPr>
                        <pic:blipFill>
                          <a:blip r:embed="rId89"/>
                          <a:stretch>
                            <a:fillRect/>
                          </a:stretch>
                        </pic:blipFill>
                        <pic:spPr>
                          <a:xfrm>
                            <a:off x="0" y="6722364"/>
                            <a:ext cx="6173559" cy="305562"/>
                          </a:xfrm>
                          <a:prstGeom prst="rect">
                            <a:avLst/>
                          </a:prstGeom>
                        </pic:spPr>
                      </pic:pic>
                      <pic:pic xmlns:pic="http://schemas.openxmlformats.org/drawingml/2006/picture">
                        <pic:nvPicPr>
                          <pic:cNvPr id="2765" name="Picture 2765"/>
                          <pic:cNvPicPr/>
                        </pic:nvPicPr>
                        <pic:blipFill>
                          <a:blip r:embed="rId90"/>
                          <a:stretch>
                            <a:fillRect/>
                          </a:stretch>
                        </pic:blipFill>
                        <pic:spPr>
                          <a:xfrm>
                            <a:off x="0" y="7027926"/>
                            <a:ext cx="6173559" cy="305562"/>
                          </a:xfrm>
                          <a:prstGeom prst="rect">
                            <a:avLst/>
                          </a:prstGeom>
                        </pic:spPr>
                      </pic:pic>
                      <pic:pic xmlns:pic="http://schemas.openxmlformats.org/drawingml/2006/picture">
                        <pic:nvPicPr>
                          <pic:cNvPr id="2767" name="Picture 2767"/>
                          <pic:cNvPicPr/>
                        </pic:nvPicPr>
                        <pic:blipFill>
                          <a:blip r:embed="rId91"/>
                          <a:stretch>
                            <a:fillRect/>
                          </a:stretch>
                        </pic:blipFill>
                        <pic:spPr>
                          <a:xfrm>
                            <a:off x="0" y="7333488"/>
                            <a:ext cx="6173559" cy="305562"/>
                          </a:xfrm>
                          <a:prstGeom prst="rect">
                            <a:avLst/>
                          </a:prstGeom>
                        </pic:spPr>
                      </pic:pic>
                      <pic:pic xmlns:pic="http://schemas.openxmlformats.org/drawingml/2006/picture">
                        <pic:nvPicPr>
                          <pic:cNvPr id="2769" name="Picture 2769"/>
                          <pic:cNvPicPr/>
                        </pic:nvPicPr>
                        <pic:blipFill>
                          <a:blip r:embed="rId92"/>
                          <a:stretch>
                            <a:fillRect/>
                          </a:stretch>
                        </pic:blipFill>
                        <pic:spPr>
                          <a:xfrm>
                            <a:off x="0" y="7639051"/>
                            <a:ext cx="6173559" cy="292608"/>
                          </a:xfrm>
                          <a:prstGeom prst="rect">
                            <a:avLst/>
                          </a:prstGeom>
                        </pic:spPr>
                      </pic:pic>
                    </wpg:wgp>
                  </a:graphicData>
                </a:graphic>
              </wp:inline>
            </w:drawing>
          </mc:Choice>
          <mc:Fallback xmlns:a="http://schemas.openxmlformats.org/drawingml/2006/main">
            <w:pict>
              <v:group id="Group 53810" style="width:486.107pt;height:624.54pt;mso-position-horizontal-relative:char;mso-position-vertical-relative:line" coordsize="61735,79316">
                <v:shape id="Picture 2719" style="position:absolute;width:61735;height:3055;left:0;top:0;" filled="f">
                  <v:imagedata r:id="rId93"/>
                </v:shape>
                <v:shape id="Picture 2721" style="position:absolute;width:61735;height:3055;left:0;top:3055;" filled="f">
                  <v:imagedata r:id="rId94"/>
                </v:shape>
                <v:shape id="Picture 2723" style="position:absolute;width:61735;height:3055;left:0;top:6111;" filled="f">
                  <v:imagedata r:id="rId95"/>
                </v:shape>
                <v:shape id="Picture 2725" style="position:absolute;width:61735;height:3055;left:0;top:9166;" filled="f">
                  <v:imagedata r:id="rId96"/>
                </v:shape>
                <v:shape id="Picture 2727" style="position:absolute;width:61735;height:3055;left:0;top:12222;" filled="f">
                  <v:imagedata r:id="rId97"/>
                </v:shape>
                <v:shape id="Picture 2729" style="position:absolute;width:61735;height:3055;left:0;top:15278;" filled="f">
                  <v:imagedata r:id="rId98"/>
                </v:shape>
                <v:shape id="Picture 2731" style="position:absolute;width:61735;height:3055;left:0;top:18333;" filled="f">
                  <v:imagedata r:id="rId99"/>
                </v:shape>
                <v:shape id="Picture 2733" style="position:absolute;width:61735;height:3055;left:0;top:21389;" filled="f">
                  <v:imagedata r:id="rId100"/>
                </v:shape>
                <v:shape id="Picture 2735" style="position:absolute;width:61735;height:3055;left:0;top:24444;" filled="f">
                  <v:imagedata r:id="rId101"/>
                </v:shape>
                <v:shape id="Picture 2737" style="position:absolute;width:61735;height:3055;left:0;top:27500;" filled="f">
                  <v:imagedata r:id="rId102"/>
                </v:shape>
                <v:shape id="Picture 2739" style="position:absolute;width:61735;height:3055;left:0;top:30556;" filled="f">
                  <v:imagedata r:id="rId103"/>
                </v:shape>
                <v:shape id="Picture 2741" style="position:absolute;width:61735;height:3055;left:0;top:33611;" filled="f">
                  <v:imagedata r:id="rId104"/>
                </v:shape>
                <v:shape id="Picture 2743" style="position:absolute;width:61735;height:3055;left:0;top:36667;" filled="f">
                  <v:imagedata r:id="rId105"/>
                </v:shape>
                <v:shape id="Picture 2745" style="position:absolute;width:61735;height:3055;left:0;top:39723;" filled="f">
                  <v:imagedata r:id="rId106"/>
                </v:shape>
                <v:shape id="Picture 2747" style="position:absolute;width:61735;height:3055;left:0;top:42778;" filled="f">
                  <v:imagedata r:id="rId107"/>
                </v:shape>
                <v:shape id="Picture 2749" style="position:absolute;width:61735;height:3055;left:0;top:45834;" filled="f">
                  <v:imagedata r:id="rId108"/>
                </v:shape>
                <v:shape id="Picture 2751" style="position:absolute;width:61735;height:3055;left:0;top:48889;" filled="f">
                  <v:imagedata r:id="rId109"/>
                </v:shape>
                <v:shape id="Picture 2753" style="position:absolute;width:61735;height:3055;left:0;top:51945;" filled="f">
                  <v:imagedata r:id="rId110"/>
                </v:shape>
                <v:shape id="Picture 2755" style="position:absolute;width:61735;height:3055;left:0;top:55001;" filled="f">
                  <v:imagedata r:id="rId111"/>
                </v:shape>
                <v:shape id="Picture 2757" style="position:absolute;width:61735;height:3055;left:0;top:58056;" filled="f">
                  <v:imagedata r:id="rId112"/>
                </v:shape>
                <v:shape id="Picture 2759" style="position:absolute;width:61735;height:3055;left:0;top:61112;" filled="f">
                  <v:imagedata r:id="rId113"/>
                </v:shape>
                <v:shape id="Picture 2761" style="position:absolute;width:61735;height:3055;left:0;top:64168;" filled="f">
                  <v:imagedata r:id="rId114"/>
                </v:shape>
                <v:shape id="Picture 2763" style="position:absolute;width:61735;height:3055;left:0;top:67223;" filled="f">
                  <v:imagedata r:id="rId115"/>
                </v:shape>
                <v:shape id="Picture 2765" style="position:absolute;width:61735;height:3055;left:0;top:70279;" filled="f">
                  <v:imagedata r:id="rId116"/>
                </v:shape>
                <v:shape id="Picture 2767" style="position:absolute;width:61735;height:3055;left:0;top:73334;" filled="f">
                  <v:imagedata r:id="rId117"/>
                </v:shape>
                <v:shape id="Picture 2769" style="position:absolute;width:61735;height:2926;left:0;top:76390;" filled="f">
                  <v:imagedata r:id="rId118"/>
                </v:shape>
              </v:group>
            </w:pict>
          </mc:Fallback>
        </mc:AlternateContent>
      </w:r>
      <w:r>
        <w:t xml:space="preserve"> </w:t>
      </w:r>
    </w:p>
    <w:p w:rsidR="00C25E94" w:rsidRDefault="00AA21AD">
      <w:pPr>
        <w:numPr>
          <w:ilvl w:val="0"/>
          <w:numId w:val="12"/>
        </w:numPr>
        <w:ind w:right="43" w:hanging="719"/>
      </w:pPr>
      <w:r>
        <w:t xml:space="preserve">(LO 6, 7)  </w:t>
      </w:r>
    </w:p>
    <w:p w:rsidR="00C25E94" w:rsidRDefault="00AA21AD">
      <w:pPr>
        <w:numPr>
          <w:ilvl w:val="1"/>
          <w:numId w:val="12"/>
        </w:numPr>
        <w:ind w:right="43" w:hanging="720"/>
      </w:pPr>
      <w:r>
        <w:lastRenderedPageBreak/>
        <w:t xml:space="preserve">Taxable income of Apple Corporation  </w:t>
      </w:r>
      <w:r>
        <w:tab/>
        <w:t xml:space="preserve">$3,600,000 </w:t>
      </w:r>
    </w:p>
    <w:p w:rsidR="00C25E94" w:rsidRDefault="00AA21AD">
      <w:pPr>
        <w:ind w:left="1442" w:right="43"/>
      </w:pPr>
      <w:r>
        <w:t xml:space="preserve">Adjustments: </w:t>
      </w:r>
    </w:p>
    <w:p w:rsidR="00C25E94" w:rsidRDefault="00AA21AD">
      <w:pPr>
        <w:ind w:left="1413" w:right="43"/>
      </w:pPr>
      <w:r>
        <w:t xml:space="preserve">   Accelerated depreciation on realty in excess of straight-line </w:t>
      </w:r>
      <w:r>
        <w:tab/>
        <w:t xml:space="preserve">1,530,000 Tax preferences: </w:t>
      </w:r>
    </w:p>
    <w:p w:rsidR="00C25E94" w:rsidRDefault="00AA21AD">
      <w:pPr>
        <w:tabs>
          <w:tab w:val="center" w:pos="3014"/>
          <w:tab w:val="center" w:pos="7508"/>
        </w:tabs>
        <w:ind w:left="0" w:right="0" w:firstLine="0"/>
        <w:jc w:val="left"/>
      </w:pPr>
      <w:r>
        <w:rPr>
          <w:rFonts w:ascii="Calibri" w:eastAsia="Calibri" w:hAnsi="Calibri" w:cs="Calibri"/>
        </w:rPr>
        <w:tab/>
      </w:r>
      <w:r>
        <w:t xml:space="preserve">   Excess of intangible drilling costs  </w:t>
      </w:r>
      <w:r>
        <w:tab/>
        <w:t xml:space="preserve">$450,000 </w:t>
      </w:r>
    </w:p>
    <w:p w:rsidR="00C25E94" w:rsidRDefault="00AA21AD">
      <w:pPr>
        <w:ind w:left="1442" w:right="43"/>
      </w:pPr>
      <w:r>
        <w:t xml:space="preserve">   Percentage depletion in excess of the </w:t>
      </w:r>
    </w:p>
    <w:p w:rsidR="00C25E94" w:rsidRDefault="00AA21AD">
      <w:pPr>
        <w:tabs>
          <w:tab w:val="center" w:pos="2485"/>
          <w:tab w:val="center" w:pos="7508"/>
          <w:tab w:val="center" w:pos="8865"/>
        </w:tabs>
        <w:spacing w:after="0" w:line="259" w:lineRule="auto"/>
        <w:ind w:left="0" w:right="0" w:firstLine="0"/>
        <w:jc w:val="left"/>
      </w:pPr>
      <w:r>
        <w:rPr>
          <w:rFonts w:ascii="Calibri" w:eastAsia="Calibri" w:hAnsi="Calibri" w:cs="Calibri"/>
        </w:rPr>
        <w:tab/>
      </w:r>
      <w:r>
        <w:t xml:space="preserve">property’s basis  </w:t>
      </w:r>
      <w:r>
        <w:tab/>
      </w:r>
      <w:r>
        <w:rPr>
          <w:u w:val="single" w:color="000000"/>
        </w:rPr>
        <w:t xml:space="preserve">  630,000</w:t>
      </w:r>
      <w:r>
        <w:t xml:space="preserve"> </w:t>
      </w:r>
      <w:r>
        <w:tab/>
      </w:r>
      <w:r>
        <w:rPr>
          <w:u w:val="single" w:color="000000"/>
        </w:rPr>
        <w:t xml:space="preserve">  1,080,000</w:t>
      </w:r>
      <w:r>
        <w:t xml:space="preserve"> </w:t>
      </w:r>
    </w:p>
    <w:p w:rsidR="00C25E94" w:rsidRDefault="00AA21AD">
      <w:pPr>
        <w:spacing w:line="371" w:lineRule="auto"/>
        <w:ind w:left="-15" w:right="43" w:firstLine="1440"/>
      </w:pPr>
      <w:r>
        <w:t>Alternativ</w:t>
      </w:r>
      <w:r>
        <w:t xml:space="preserve">e minimum taxable income  </w:t>
      </w:r>
      <w:r>
        <w:tab/>
      </w:r>
      <w:r>
        <w:rPr>
          <w:u w:val="double" w:color="000000"/>
        </w:rPr>
        <w:t>$6,210,000</w:t>
      </w:r>
      <w:r>
        <w:t xml:space="preserve">  </w:t>
      </w:r>
      <w:r>
        <w:tab/>
        <w:t xml:space="preserve">b. </w:t>
      </w:r>
      <w:r>
        <w:tab/>
        <w:t xml:space="preserve">AMTI (from part a. above)  </w:t>
      </w:r>
      <w:r>
        <w:tab/>
        <w:t xml:space="preserve"> </w:t>
      </w:r>
      <w:r>
        <w:tab/>
        <w:t xml:space="preserve">$6,210,000 </w:t>
      </w:r>
    </w:p>
    <w:p w:rsidR="00C25E94" w:rsidRDefault="00AA21AD">
      <w:pPr>
        <w:tabs>
          <w:tab w:val="center" w:pos="3380"/>
          <w:tab w:val="center" w:pos="8919"/>
        </w:tabs>
        <w:ind w:left="0" w:right="0" w:firstLine="0"/>
        <w:jc w:val="left"/>
      </w:pPr>
      <w:r>
        <w:rPr>
          <w:rFonts w:ascii="Calibri" w:eastAsia="Calibri" w:hAnsi="Calibri" w:cs="Calibri"/>
        </w:rPr>
        <w:tab/>
      </w:r>
      <w:r>
        <w:t xml:space="preserve">Less: Exemption (AMTI exceeds $310,000)  </w:t>
      </w:r>
      <w:r>
        <w:tab/>
      </w:r>
      <w:r>
        <w:rPr>
          <w:u w:val="single" w:color="000000"/>
        </w:rPr>
        <w:t xml:space="preserve">          (–0–</w:t>
      </w:r>
      <w:r>
        <w:t xml:space="preserve">) </w:t>
      </w:r>
    </w:p>
    <w:p w:rsidR="00C25E94" w:rsidRDefault="00AA21AD">
      <w:pPr>
        <w:tabs>
          <w:tab w:val="center" w:pos="2747"/>
          <w:tab w:val="center" w:pos="8884"/>
        </w:tabs>
        <w:spacing w:after="128"/>
        <w:ind w:left="0" w:right="0" w:firstLine="0"/>
        <w:jc w:val="left"/>
      </w:pPr>
      <w:r>
        <w:rPr>
          <w:rFonts w:ascii="Calibri" w:eastAsia="Calibri" w:hAnsi="Calibri" w:cs="Calibri"/>
        </w:rPr>
        <w:tab/>
      </w:r>
      <w:r>
        <w:t xml:space="preserve">Alternative minimum tax base  </w:t>
      </w:r>
      <w:r>
        <w:tab/>
      </w:r>
      <w:r>
        <w:rPr>
          <w:u w:val="double" w:color="000000"/>
        </w:rPr>
        <w:t>$6,210,000</w:t>
      </w:r>
      <w:r>
        <w:t xml:space="preserve">  </w:t>
      </w:r>
    </w:p>
    <w:p w:rsidR="00C25E94" w:rsidRDefault="00AA21AD">
      <w:pPr>
        <w:numPr>
          <w:ilvl w:val="1"/>
          <w:numId w:val="13"/>
        </w:numPr>
        <w:ind w:right="43" w:hanging="720"/>
      </w:pPr>
      <w:r>
        <w:t xml:space="preserve">Alternative minimum tax base (from part b. above)  </w:t>
      </w:r>
      <w:r>
        <w:tab/>
        <w:t xml:space="preserve">$6,210,000 </w:t>
      </w:r>
    </w:p>
    <w:p w:rsidR="00C25E94" w:rsidRDefault="00AA21AD">
      <w:pPr>
        <w:tabs>
          <w:tab w:val="center" w:pos="1895"/>
          <w:tab w:val="center" w:pos="2851"/>
          <w:tab w:val="center" w:pos="8893"/>
        </w:tabs>
        <w:spacing w:after="0" w:line="259" w:lineRule="auto"/>
        <w:ind w:left="0" w:right="0" w:firstLine="0"/>
        <w:jc w:val="left"/>
      </w:pPr>
      <w:r>
        <w:rPr>
          <w:rFonts w:ascii="Calibri" w:eastAsia="Calibri" w:hAnsi="Calibri" w:cs="Calibri"/>
        </w:rPr>
        <w:tab/>
      </w:r>
      <w:r>
        <w:t xml:space="preserve">× 20% rate </w:t>
      </w:r>
      <w:r>
        <w:tab/>
        <w:t xml:space="preserve"> </w:t>
      </w:r>
      <w:r>
        <w:tab/>
      </w:r>
      <w:r>
        <w:rPr>
          <w:u w:val="single" w:color="000000"/>
        </w:rPr>
        <w:t>×        20%</w:t>
      </w:r>
      <w:r>
        <w:t xml:space="preserve">  </w:t>
      </w:r>
    </w:p>
    <w:p w:rsidR="00C25E94" w:rsidRDefault="00AA21AD">
      <w:pPr>
        <w:tabs>
          <w:tab w:val="center" w:pos="3441"/>
          <w:tab w:val="center" w:pos="8885"/>
        </w:tabs>
        <w:spacing w:after="227"/>
        <w:ind w:left="0" w:right="0" w:firstLine="0"/>
        <w:jc w:val="left"/>
      </w:pPr>
      <w:r>
        <w:rPr>
          <w:rFonts w:ascii="Calibri" w:eastAsia="Calibri" w:hAnsi="Calibri" w:cs="Calibri"/>
        </w:rPr>
        <w:tab/>
      </w:r>
      <w:r>
        <w:t xml:space="preserve">Tentative minimum tax (no foreign tax credit)  </w:t>
      </w:r>
      <w:r>
        <w:tab/>
      </w:r>
      <w:r>
        <w:rPr>
          <w:u w:val="double" w:color="000000"/>
        </w:rPr>
        <w:t>$1,242,000</w:t>
      </w:r>
      <w:r>
        <w:t xml:space="preserve">  </w:t>
      </w:r>
    </w:p>
    <w:p w:rsidR="00C25E94" w:rsidRDefault="00AA21AD">
      <w:pPr>
        <w:numPr>
          <w:ilvl w:val="1"/>
          <w:numId w:val="13"/>
        </w:numPr>
        <w:ind w:right="43" w:hanging="720"/>
      </w:pPr>
      <w:r>
        <w:t xml:space="preserve">Tentative minimum tax (from part c. above)  </w:t>
      </w:r>
      <w:r>
        <w:tab/>
        <w:t xml:space="preserve">$1,242,000 </w:t>
      </w:r>
    </w:p>
    <w:p w:rsidR="00C25E94" w:rsidRDefault="00AA21AD">
      <w:pPr>
        <w:tabs>
          <w:tab w:val="center" w:pos="720"/>
          <w:tab w:val="center" w:pos="3125"/>
          <w:tab w:val="center" w:pos="8893"/>
        </w:tabs>
        <w:spacing w:after="3" w:line="259" w:lineRule="auto"/>
        <w:ind w:left="0" w:right="0" w:firstLine="0"/>
        <w:jc w:val="left"/>
      </w:pPr>
      <w:r>
        <w:rPr>
          <w:rFonts w:ascii="Calibri" w:eastAsia="Calibri" w:hAnsi="Calibri" w:cs="Calibri"/>
        </w:rPr>
        <w:tab/>
      </w:r>
      <w:r>
        <w:t xml:space="preserve"> </w:t>
      </w:r>
      <w:r>
        <w:tab/>
        <w:t xml:space="preserve">Less: Regular tax ($3,600,000 × 34%)                          </w:t>
      </w:r>
      <w:r>
        <w:tab/>
      </w:r>
      <w:r>
        <w:rPr>
          <w:u w:val="single" w:color="000000"/>
        </w:rPr>
        <w:t xml:space="preserve"> (1,224,000</w:t>
      </w:r>
      <w:r>
        <w:t xml:space="preserve">) </w:t>
      </w:r>
    </w:p>
    <w:p w:rsidR="00C25E94" w:rsidRDefault="00AA21AD">
      <w:pPr>
        <w:tabs>
          <w:tab w:val="center" w:pos="1684"/>
          <w:tab w:val="center" w:pos="2852"/>
          <w:tab w:val="center" w:pos="8866"/>
        </w:tabs>
        <w:spacing w:after="248"/>
        <w:ind w:left="0" w:right="0" w:firstLine="0"/>
        <w:jc w:val="left"/>
      </w:pPr>
      <w:r>
        <w:rPr>
          <w:rFonts w:ascii="Calibri" w:eastAsia="Calibri" w:hAnsi="Calibri" w:cs="Calibri"/>
        </w:rPr>
        <w:tab/>
      </w:r>
      <w:r>
        <w:t xml:space="preserve">AMT   </w:t>
      </w:r>
      <w:r>
        <w:tab/>
        <w:t xml:space="preserve"> </w:t>
      </w:r>
      <w:r>
        <w:tab/>
      </w:r>
      <w:r>
        <w:rPr>
          <w:u w:val="double" w:color="000000"/>
        </w:rPr>
        <w:t xml:space="preserve"> $     18,000</w:t>
      </w:r>
      <w:r>
        <w:t xml:space="preserve">  </w:t>
      </w:r>
    </w:p>
    <w:p w:rsidR="00C25E94" w:rsidRDefault="00AA21AD">
      <w:pPr>
        <w:numPr>
          <w:ilvl w:val="0"/>
          <w:numId w:val="12"/>
        </w:numPr>
        <w:ind w:right="43" w:hanging="719"/>
      </w:pPr>
      <w:r>
        <w:t>(L</w:t>
      </w:r>
      <w:r>
        <w:t xml:space="preserve">O 6, 7) </w:t>
      </w:r>
    </w:p>
    <w:p w:rsidR="00C25E94" w:rsidRDefault="00AA21AD">
      <w:pPr>
        <w:numPr>
          <w:ilvl w:val="1"/>
          <w:numId w:val="12"/>
        </w:numPr>
        <w:ind w:right="43" w:hanging="720"/>
      </w:pPr>
      <w:r>
        <w:t xml:space="preserve">Taxable income of Gold Corporation </w:t>
      </w:r>
      <w:r>
        <w:tab/>
        <w:t xml:space="preserve">$4,200,000  </w:t>
      </w:r>
      <w:r>
        <w:tab/>
        <w:t xml:space="preserve"> </w:t>
      </w:r>
      <w:r>
        <w:tab/>
        <w:t xml:space="preserve">Adjustments: </w:t>
      </w:r>
    </w:p>
    <w:p w:rsidR="00C25E94" w:rsidRDefault="00AA21AD">
      <w:pPr>
        <w:tabs>
          <w:tab w:val="center" w:pos="720"/>
          <w:tab w:val="center" w:pos="2483"/>
          <w:tab w:val="center" w:pos="9003"/>
        </w:tabs>
        <w:ind w:left="-15" w:right="0" w:firstLine="0"/>
        <w:jc w:val="left"/>
      </w:pPr>
      <w:r>
        <w:t xml:space="preserve"> </w:t>
      </w:r>
      <w:r>
        <w:tab/>
        <w:t xml:space="preserve"> </w:t>
      </w:r>
      <w:r>
        <w:tab/>
        <w:t xml:space="preserve">   AMT NOL deduction </w:t>
      </w:r>
      <w:r>
        <w:tab/>
        <w:t>(989,570)</w:t>
      </w:r>
    </w:p>
    <w:p w:rsidR="00C25E94" w:rsidRDefault="00AA21AD">
      <w:pPr>
        <w:tabs>
          <w:tab w:val="center" w:pos="720"/>
          <w:tab w:val="center" w:pos="2176"/>
        </w:tabs>
        <w:ind w:left="-15" w:right="0" w:firstLine="0"/>
        <w:jc w:val="left"/>
      </w:pPr>
      <w:r>
        <w:t xml:space="preserve"> </w:t>
      </w:r>
      <w:r>
        <w:tab/>
        <w:t xml:space="preserve"> </w:t>
      </w:r>
      <w:r>
        <w:tab/>
        <w:t xml:space="preserve">Tax preferences: </w:t>
      </w:r>
    </w:p>
    <w:p w:rsidR="00C25E94" w:rsidRDefault="00AA21AD">
      <w:pPr>
        <w:tabs>
          <w:tab w:val="center" w:pos="720"/>
          <w:tab w:val="center" w:pos="3774"/>
          <w:tab w:val="center" w:pos="7426"/>
        </w:tabs>
        <w:ind w:left="-15" w:right="0" w:firstLine="0"/>
        <w:jc w:val="left"/>
      </w:pPr>
      <w:r>
        <w:t xml:space="preserve"> </w:t>
      </w:r>
      <w:r>
        <w:tab/>
        <w:t xml:space="preserve"> </w:t>
      </w:r>
      <w:r>
        <w:tab/>
        <w:t xml:space="preserve">   Accelerated depreciation on pre-1987 real property </w:t>
      </w:r>
      <w:r>
        <w:tab/>
        <w:t xml:space="preserve">$1,500,500 </w:t>
      </w:r>
    </w:p>
    <w:p w:rsidR="00C25E94" w:rsidRDefault="00AA21AD">
      <w:pPr>
        <w:tabs>
          <w:tab w:val="center" w:pos="720"/>
          <w:tab w:val="center" w:pos="2895"/>
          <w:tab w:val="center" w:pos="7455"/>
          <w:tab w:val="center" w:pos="8884"/>
        </w:tabs>
        <w:ind w:left="-15" w:right="0" w:firstLine="0"/>
        <w:jc w:val="left"/>
      </w:pPr>
      <w:r>
        <w:t xml:space="preserve"> </w:t>
      </w:r>
      <w:r>
        <w:tab/>
        <w:t xml:space="preserve"> </w:t>
      </w:r>
      <w:r>
        <w:tab/>
        <w:t xml:space="preserve">   Excess intangible drilling costs </w:t>
      </w:r>
      <w:r>
        <w:tab/>
      </w:r>
      <w:r>
        <w:rPr>
          <w:u w:val="single" w:color="000000"/>
        </w:rPr>
        <w:t xml:space="preserve">    575,250</w:t>
      </w:r>
      <w:r>
        <w:t xml:space="preserve"> </w:t>
      </w:r>
      <w:r>
        <w:tab/>
      </w:r>
      <w:r>
        <w:rPr>
          <w:u w:val="single" w:color="000000"/>
        </w:rPr>
        <w:t xml:space="preserve">  2,075,750</w:t>
      </w:r>
      <w:r>
        <w:t xml:space="preserve">  </w:t>
      </w:r>
    </w:p>
    <w:p w:rsidR="00C25E94" w:rsidRDefault="00AA21AD">
      <w:pPr>
        <w:tabs>
          <w:tab w:val="center" w:pos="720"/>
          <w:tab w:val="center" w:pos="3088"/>
          <w:tab w:val="center" w:pos="7922"/>
          <w:tab w:val="center" w:pos="8884"/>
        </w:tabs>
        <w:spacing w:after="229"/>
        <w:ind w:left="-15" w:right="0" w:firstLine="0"/>
        <w:jc w:val="left"/>
      </w:pPr>
      <w:r>
        <w:t xml:space="preserve"> </w:t>
      </w:r>
      <w:r>
        <w:tab/>
        <w:t xml:space="preserve"> </w:t>
      </w:r>
      <w:r>
        <w:tab/>
        <w:t xml:space="preserve">Alternative minimum taxable income </w:t>
      </w:r>
      <w:r>
        <w:tab/>
        <w:t xml:space="preserve"> </w:t>
      </w:r>
      <w:r>
        <w:tab/>
      </w:r>
      <w:r>
        <w:rPr>
          <w:u w:val="double" w:color="000000"/>
        </w:rPr>
        <w:t>$5,286,180</w:t>
      </w:r>
      <w:r>
        <w:t xml:space="preserve">  </w:t>
      </w:r>
    </w:p>
    <w:p w:rsidR="00C25E94" w:rsidRDefault="00AA21AD">
      <w:pPr>
        <w:numPr>
          <w:ilvl w:val="1"/>
          <w:numId w:val="12"/>
        </w:numPr>
        <w:ind w:right="43" w:hanging="720"/>
      </w:pPr>
      <w:r>
        <w:t xml:space="preserve">AMTI (from part a. above) </w:t>
      </w:r>
      <w:r>
        <w:tab/>
        <w:t xml:space="preserve"> </w:t>
      </w:r>
      <w:r>
        <w:tab/>
        <w:t xml:space="preserve">$5,286,180 </w:t>
      </w:r>
    </w:p>
    <w:p w:rsidR="00C25E94" w:rsidRDefault="00AA21AD">
      <w:pPr>
        <w:tabs>
          <w:tab w:val="center" w:pos="720"/>
          <w:tab w:val="center" w:pos="3381"/>
          <w:tab w:val="center" w:pos="7921"/>
          <w:tab w:val="center" w:pos="8893"/>
        </w:tabs>
        <w:ind w:left="-15" w:right="0" w:firstLine="0"/>
        <w:jc w:val="left"/>
      </w:pPr>
      <w:r>
        <w:t xml:space="preserve"> </w:t>
      </w:r>
      <w:r>
        <w:tab/>
        <w:t xml:space="preserve"> </w:t>
      </w:r>
      <w:r>
        <w:tab/>
        <w:t xml:space="preserve">Less: Exemption (AMTI exceeds $310,000) </w:t>
      </w:r>
      <w:r>
        <w:tab/>
        <w:t xml:space="preserve"> </w:t>
      </w:r>
      <w:r>
        <w:tab/>
      </w:r>
      <w:r>
        <w:rPr>
          <w:u w:val="single" w:color="000000"/>
        </w:rPr>
        <w:t xml:space="preserve">           (–0–</w:t>
      </w:r>
      <w:r>
        <w:t xml:space="preserve">) </w:t>
      </w:r>
    </w:p>
    <w:p w:rsidR="00C25E94" w:rsidRDefault="00AA21AD">
      <w:pPr>
        <w:tabs>
          <w:tab w:val="center" w:pos="720"/>
          <w:tab w:val="center" w:pos="2776"/>
          <w:tab w:val="center" w:pos="7923"/>
          <w:tab w:val="center" w:pos="8884"/>
        </w:tabs>
        <w:spacing w:after="227"/>
        <w:ind w:left="-15" w:right="0" w:firstLine="0"/>
        <w:jc w:val="left"/>
      </w:pPr>
      <w:r>
        <w:t xml:space="preserve"> </w:t>
      </w:r>
      <w:r>
        <w:tab/>
        <w:t xml:space="preserve"> </w:t>
      </w:r>
      <w:r>
        <w:tab/>
        <w:t xml:space="preserve">Alternative minimum tax base </w:t>
      </w:r>
      <w:r>
        <w:tab/>
        <w:t xml:space="preserve"> </w:t>
      </w:r>
      <w:r>
        <w:tab/>
      </w:r>
      <w:r>
        <w:rPr>
          <w:u w:val="double" w:color="000000"/>
        </w:rPr>
        <w:t>$5,286,180</w:t>
      </w:r>
      <w:r>
        <w:t xml:space="preserve">  </w:t>
      </w:r>
    </w:p>
    <w:p w:rsidR="00C25E94" w:rsidRDefault="00AA21AD">
      <w:pPr>
        <w:numPr>
          <w:ilvl w:val="1"/>
          <w:numId w:val="12"/>
        </w:numPr>
        <w:ind w:right="43" w:hanging="720"/>
      </w:pPr>
      <w:r>
        <w:t>AMTI base (from part b. above)</w:t>
      </w:r>
      <w:r>
        <w:t xml:space="preserve"> </w:t>
      </w:r>
      <w:r>
        <w:tab/>
        <w:t xml:space="preserve"> </w:t>
      </w:r>
      <w:r>
        <w:tab/>
        <w:t xml:space="preserve">$5,286,180 </w:t>
      </w:r>
    </w:p>
    <w:p w:rsidR="00C25E94" w:rsidRDefault="00AA21AD">
      <w:pPr>
        <w:tabs>
          <w:tab w:val="center" w:pos="720"/>
          <w:tab w:val="center" w:pos="1834"/>
          <w:tab w:val="center" w:pos="7919"/>
          <w:tab w:val="center" w:pos="8876"/>
        </w:tabs>
        <w:spacing w:after="0" w:line="259" w:lineRule="auto"/>
        <w:ind w:left="-15" w:right="0" w:firstLine="0"/>
        <w:jc w:val="left"/>
      </w:pPr>
      <w:r>
        <w:t xml:space="preserve"> </w:t>
      </w:r>
      <w:r>
        <w:tab/>
        <w:t xml:space="preserve"> </w:t>
      </w:r>
      <w:r>
        <w:tab/>
        <w:t xml:space="preserve">20% rate </w:t>
      </w:r>
      <w:r>
        <w:tab/>
        <w:t xml:space="preserve"> </w:t>
      </w:r>
      <w:r>
        <w:tab/>
      </w:r>
      <w:r>
        <w:rPr>
          <w:u w:val="single" w:color="000000"/>
        </w:rPr>
        <w:t>×        20%</w:t>
      </w:r>
      <w:r>
        <w:t xml:space="preserve"> </w:t>
      </w:r>
    </w:p>
    <w:p w:rsidR="00C25E94" w:rsidRDefault="00AA21AD">
      <w:pPr>
        <w:spacing w:after="0" w:line="371" w:lineRule="auto"/>
        <w:ind w:left="-15" w:right="0" w:firstLine="0"/>
        <w:jc w:val="left"/>
      </w:pPr>
      <w:r>
        <w:t xml:space="preserve"> </w:t>
      </w:r>
      <w:r>
        <w:tab/>
        <w:t xml:space="preserve"> </w:t>
      </w:r>
      <w:r>
        <w:tab/>
        <w:t xml:space="preserve">Tentative minimum tax (no foreign tax credit) </w:t>
      </w:r>
      <w:r>
        <w:tab/>
        <w:t xml:space="preserve"> </w:t>
      </w:r>
      <w:r>
        <w:tab/>
      </w:r>
      <w:r>
        <w:rPr>
          <w:u w:val="double" w:color="000000"/>
        </w:rPr>
        <w:t>$1,057,236</w:t>
      </w:r>
      <w:r>
        <w:t xml:space="preserve">  </w:t>
      </w:r>
      <w:r>
        <w:tab/>
        <w:t xml:space="preserve">d. </w:t>
      </w:r>
      <w:r>
        <w:tab/>
        <w:t xml:space="preserve">Tentative minimum tax (from part c. above) </w:t>
      </w:r>
      <w:r>
        <w:tab/>
        <w:t xml:space="preserve"> </w:t>
      </w:r>
      <w:r>
        <w:tab/>
        <w:t xml:space="preserve">$1,057,236  </w:t>
      </w:r>
      <w:r>
        <w:tab/>
        <w:t xml:space="preserve"> </w:t>
      </w:r>
      <w:r>
        <w:tab/>
        <w:t xml:space="preserve">Less: Regular tax ($4,200,000 × 34%) </w:t>
      </w:r>
      <w:r>
        <w:tab/>
        <w:t xml:space="preserve"> </w:t>
      </w:r>
      <w:r>
        <w:tab/>
      </w:r>
      <w:r>
        <w:rPr>
          <w:u w:val="single" w:color="000000"/>
        </w:rPr>
        <w:t xml:space="preserve"> (1,428,000</w:t>
      </w:r>
      <w:r>
        <w:t xml:space="preserve">) </w:t>
      </w:r>
    </w:p>
    <w:p w:rsidR="00C25E94" w:rsidRDefault="00AA21AD">
      <w:pPr>
        <w:tabs>
          <w:tab w:val="center" w:pos="720"/>
          <w:tab w:val="center" w:pos="1684"/>
          <w:tab w:val="center" w:pos="7921"/>
          <w:tab w:val="center" w:pos="8855"/>
        </w:tabs>
        <w:spacing w:after="188"/>
        <w:ind w:left="-15" w:right="0" w:firstLine="0"/>
        <w:jc w:val="left"/>
      </w:pPr>
      <w:r>
        <w:t xml:space="preserve"> </w:t>
      </w:r>
      <w:r>
        <w:tab/>
        <w:t xml:space="preserve"> </w:t>
      </w:r>
      <w:r>
        <w:tab/>
        <w:t xml:space="preserve">AMT </w:t>
      </w:r>
      <w:r>
        <w:tab/>
        <w:t xml:space="preserve"> </w:t>
      </w:r>
      <w:r>
        <w:tab/>
      </w:r>
      <w:r>
        <w:rPr>
          <w:u w:val="double" w:color="000000"/>
        </w:rPr>
        <w:t xml:space="preserve"> $          –0–</w:t>
      </w:r>
      <w:r>
        <w:t xml:space="preserve">  </w:t>
      </w:r>
    </w:p>
    <w:p w:rsidR="00C25E94" w:rsidRDefault="00AA21AD">
      <w:pPr>
        <w:numPr>
          <w:ilvl w:val="0"/>
          <w:numId w:val="12"/>
        </w:numPr>
        <w:ind w:right="43" w:hanging="719"/>
      </w:pPr>
      <w:r>
        <w:t xml:space="preserve">(LO 6, 7) </w:t>
      </w:r>
    </w:p>
    <w:p w:rsidR="00C25E94" w:rsidRDefault="00AA21AD">
      <w:pPr>
        <w:numPr>
          <w:ilvl w:val="1"/>
          <w:numId w:val="12"/>
        </w:numPr>
        <w:spacing w:after="227"/>
        <w:ind w:right="43" w:hanging="720"/>
      </w:pPr>
      <w:r>
        <w:t xml:space="preserve">Taxable income of Silver Corporation </w:t>
      </w:r>
      <w:r>
        <w:tab/>
        <w:t xml:space="preserve">$3,950,000 </w:t>
      </w:r>
    </w:p>
    <w:p w:rsidR="00C25E94" w:rsidRDefault="00AA21AD">
      <w:pPr>
        <w:tabs>
          <w:tab w:val="center" w:pos="720"/>
          <w:tab w:val="center" w:pos="2026"/>
        </w:tabs>
        <w:ind w:left="-15" w:right="0" w:firstLine="0"/>
        <w:jc w:val="left"/>
      </w:pPr>
      <w:r>
        <w:t xml:space="preserve"> </w:t>
      </w:r>
      <w:r>
        <w:tab/>
        <w:t xml:space="preserve"> </w:t>
      </w:r>
      <w:r>
        <w:tab/>
        <w:t xml:space="preserve">Adjustments: </w:t>
      </w:r>
    </w:p>
    <w:p w:rsidR="00C25E94" w:rsidRDefault="00AA21AD">
      <w:pPr>
        <w:tabs>
          <w:tab w:val="center" w:pos="720"/>
          <w:tab w:val="center" w:pos="2483"/>
          <w:tab w:val="center" w:pos="7445"/>
        </w:tabs>
        <w:ind w:left="-15" w:right="0" w:firstLine="0"/>
        <w:jc w:val="left"/>
      </w:pPr>
      <w:r>
        <w:t xml:space="preserve"> </w:t>
      </w:r>
      <w:r>
        <w:tab/>
        <w:t xml:space="preserve"> </w:t>
      </w:r>
      <w:r>
        <w:tab/>
        <w:t xml:space="preserve">   AMT NOL deduction </w:t>
      </w:r>
      <w:r>
        <w:tab/>
        <w:t xml:space="preserve">($   790,000) </w:t>
      </w:r>
    </w:p>
    <w:p w:rsidR="00C25E94" w:rsidRDefault="00AA21AD">
      <w:pPr>
        <w:tabs>
          <w:tab w:val="center" w:pos="720"/>
          <w:tab w:val="center" w:pos="2192"/>
          <w:tab w:val="center" w:pos="7371"/>
          <w:tab w:val="center" w:pos="8965"/>
        </w:tabs>
        <w:ind w:left="-15" w:right="0" w:firstLine="0"/>
        <w:jc w:val="left"/>
      </w:pPr>
      <w:r>
        <w:t xml:space="preserve"> </w:t>
      </w:r>
      <w:r>
        <w:tab/>
        <w:t xml:space="preserve"> </w:t>
      </w:r>
      <w:r>
        <w:tab/>
        <w:t xml:space="preserve">   ACE (positive) </w:t>
      </w:r>
      <w:r>
        <w:tab/>
        <w:t xml:space="preserve"> </w:t>
      </w:r>
      <w:r>
        <w:rPr>
          <w:u w:val="single" w:color="000000"/>
        </w:rPr>
        <w:t xml:space="preserve">   1,500,000</w:t>
      </w:r>
      <w:r>
        <w:t xml:space="preserve"> </w:t>
      </w:r>
      <w:r>
        <w:tab/>
        <w:t xml:space="preserve">  710,000  </w:t>
      </w:r>
    </w:p>
    <w:p w:rsidR="00C25E94" w:rsidRDefault="00AA21AD">
      <w:pPr>
        <w:spacing w:after="0" w:line="259" w:lineRule="auto"/>
        <w:ind w:left="0" w:right="0" w:firstLine="0"/>
        <w:jc w:val="left"/>
      </w:pPr>
      <w:r>
        <w:t xml:space="preserve"> </w:t>
      </w:r>
    </w:p>
    <w:p w:rsidR="00C25E94" w:rsidRDefault="00AA21AD">
      <w:pPr>
        <w:tabs>
          <w:tab w:val="center" w:pos="720"/>
          <w:tab w:val="center" w:pos="2176"/>
        </w:tabs>
        <w:ind w:left="-15" w:right="0" w:firstLine="0"/>
        <w:jc w:val="left"/>
      </w:pPr>
      <w:r>
        <w:t xml:space="preserve"> </w:t>
      </w:r>
      <w:r>
        <w:tab/>
        <w:t xml:space="preserve"> </w:t>
      </w:r>
      <w:r>
        <w:tab/>
        <w:t xml:space="preserve">Tax preferences: </w:t>
      </w:r>
    </w:p>
    <w:p w:rsidR="00C25E94" w:rsidRDefault="00AA21AD">
      <w:pPr>
        <w:tabs>
          <w:tab w:val="center" w:pos="720"/>
          <w:tab w:val="center" w:pos="2620"/>
          <w:tab w:val="center" w:pos="7426"/>
        </w:tabs>
        <w:ind w:left="-15" w:right="0" w:firstLine="0"/>
        <w:jc w:val="left"/>
      </w:pPr>
      <w:r>
        <w:t xml:space="preserve"> </w:t>
      </w:r>
      <w:r>
        <w:tab/>
        <w:t xml:space="preserve"> </w:t>
      </w:r>
      <w:r>
        <w:tab/>
        <w:t xml:space="preserve">   Accelerated depreciation </w:t>
      </w:r>
      <w:r>
        <w:tab/>
        <w:t xml:space="preserve">$1,240,000 </w:t>
      </w:r>
    </w:p>
    <w:p w:rsidR="00C25E94" w:rsidRDefault="00AA21AD">
      <w:pPr>
        <w:tabs>
          <w:tab w:val="center" w:pos="720"/>
          <w:tab w:val="center" w:pos="2045"/>
          <w:tab w:val="center" w:pos="7399"/>
          <w:tab w:val="center" w:pos="8884"/>
        </w:tabs>
        <w:spacing w:after="0" w:line="259" w:lineRule="auto"/>
        <w:ind w:left="-15" w:right="0" w:firstLine="0"/>
        <w:jc w:val="left"/>
      </w:pPr>
      <w:r>
        <w:lastRenderedPageBreak/>
        <w:t xml:space="preserve"> </w:t>
      </w:r>
      <w:r>
        <w:tab/>
        <w:t xml:space="preserve"> </w:t>
      </w:r>
      <w:r>
        <w:tab/>
        <w:t xml:space="preserve">   Excess IDC </w:t>
      </w:r>
      <w:r>
        <w:tab/>
      </w:r>
      <w:r>
        <w:rPr>
          <w:u w:val="single" w:color="000000"/>
        </w:rPr>
        <w:t xml:space="preserve">      475,000</w:t>
      </w:r>
      <w:r>
        <w:t xml:space="preserve"> </w:t>
      </w:r>
      <w:r>
        <w:tab/>
      </w:r>
      <w:r>
        <w:rPr>
          <w:u w:val="single" w:color="000000"/>
        </w:rPr>
        <w:t xml:space="preserve">  1,715,000</w:t>
      </w:r>
      <w:r>
        <w:t xml:space="preserve">  </w:t>
      </w:r>
    </w:p>
    <w:p w:rsidR="00C25E94" w:rsidRDefault="00AA21AD">
      <w:pPr>
        <w:tabs>
          <w:tab w:val="center" w:pos="720"/>
          <w:tab w:val="center" w:pos="3087"/>
          <w:tab w:val="center" w:pos="8866"/>
        </w:tabs>
        <w:spacing w:after="3" w:line="259" w:lineRule="auto"/>
        <w:ind w:left="0" w:right="0" w:firstLine="0"/>
        <w:jc w:val="left"/>
      </w:pPr>
      <w:r>
        <w:rPr>
          <w:rFonts w:ascii="Calibri" w:eastAsia="Calibri" w:hAnsi="Calibri" w:cs="Calibri"/>
        </w:rPr>
        <w:tab/>
      </w:r>
      <w:r>
        <w:t xml:space="preserve"> </w:t>
      </w:r>
      <w:r>
        <w:tab/>
        <w:t xml:space="preserve">Alternative minimum taxable income </w:t>
      </w:r>
      <w:r>
        <w:tab/>
      </w:r>
      <w:r>
        <w:rPr>
          <w:u w:val="double" w:color="000000"/>
        </w:rPr>
        <w:t>$6,375,000</w:t>
      </w:r>
      <w:r>
        <w:t xml:space="preserve"> </w:t>
      </w:r>
    </w:p>
    <w:p w:rsidR="00C25E94" w:rsidRDefault="00AA21AD">
      <w:pPr>
        <w:numPr>
          <w:ilvl w:val="1"/>
          <w:numId w:val="12"/>
        </w:numPr>
        <w:ind w:right="43" w:hanging="720"/>
      </w:pPr>
      <w:r>
        <w:t xml:space="preserve">AMTI (from part a. above) </w:t>
      </w:r>
      <w:r>
        <w:tab/>
        <w:t xml:space="preserve">$6,375,000 </w:t>
      </w:r>
    </w:p>
    <w:p w:rsidR="00C25E94" w:rsidRDefault="00AA21AD">
      <w:pPr>
        <w:tabs>
          <w:tab w:val="center" w:pos="1800"/>
          <w:tab w:val="center" w:pos="4442"/>
          <w:tab w:val="center" w:pos="10000"/>
        </w:tabs>
        <w:ind w:left="0" w:right="0" w:firstLine="0"/>
        <w:jc w:val="left"/>
      </w:pPr>
      <w:r>
        <w:rPr>
          <w:rFonts w:ascii="Calibri" w:eastAsia="Calibri" w:hAnsi="Calibri" w:cs="Calibri"/>
        </w:rPr>
        <w:tab/>
      </w:r>
      <w:r>
        <w:t xml:space="preserve"> </w:t>
      </w:r>
      <w:r>
        <w:tab/>
        <w:t xml:space="preserve">Less: exemption (AMTI exceeds $310,000) </w:t>
      </w:r>
      <w:r>
        <w:tab/>
      </w:r>
      <w:r>
        <w:rPr>
          <w:u w:val="single" w:color="000000"/>
        </w:rPr>
        <w:t xml:space="preserve">          (–0–</w:t>
      </w:r>
      <w:r>
        <w:t xml:space="preserve">) </w:t>
      </w:r>
    </w:p>
    <w:p w:rsidR="00C25E94" w:rsidRDefault="00AA21AD">
      <w:pPr>
        <w:tabs>
          <w:tab w:val="center" w:pos="1800"/>
          <w:tab w:val="center" w:pos="3856"/>
          <w:tab w:val="center" w:pos="9964"/>
        </w:tabs>
        <w:ind w:left="0" w:right="0" w:firstLine="0"/>
        <w:jc w:val="left"/>
      </w:pPr>
      <w:r>
        <w:rPr>
          <w:rFonts w:ascii="Calibri" w:eastAsia="Calibri" w:hAnsi="Calibri" w:cs="Calibri"/>
        </w:rPr>
        <w:tab/>
      </w:r>
      <w:r>
        <w:t xml:space="preserve"> </w:t>
      </w:r>
      <w:r>
        <w:tab/>
        <w:t xml:space="preserve">Alternative minimum tax base </w:t>
      </w:r>
      <w:r>
        <w:tab/>
      </w:r>
      <w:r>
        <w:rPr>
          <w:u w:val="double" w:color="000000"/>
        </w:rPr>
        <w:t>$6,375,000</w:t>
      </w:r>
      <w:r>
        <w:t xml:space="preserve">  </w:t>
      </w:r>
    </w:p>
    <w:p w:rsidR="00C25E94" w:rsidRDefault="00AA21AD">
      <w:pPr>
        <w:spacing w:after="0" w:line="259" w:lineRule="auto"/>
        <w:ind w:left="720" w:right="0" w:firstLine="0"/>
        <w:jc w:val="left"/>
      </w:pPr>
      <w:r>
        <w:t xml:space="preserve"> </w:t>
      </w:r>
      <w:r>
        <w:tab/>
        <w:t xml:space="preserve"> </w:t>
      </w:r>
    </w:p>
    <w:p w:rsidR="00C25E94" w:rsidRDefault="00AA21AD">
      <w:pPr>
        <w:numPr>
          <w:ilvl w:val="1"/>
          <w:numId w:val="12"/>
        </w:numPr>
        <w:ind w:right="43" w:hanging="720"/>
      </w:pPr>
      <w:r>
        <w:t xml:space="preserve">AMTI base (from part b. above) </w:t>
      </w:r>
      <w:r>
        <w:tab/>
        <w:t xml:space="preserve">$6,375,000 </w:t>
      </w:r>
    </w:p>
    <w:p w:rsidR="00C25E94" w:rsidRDefault="00AA21AD">
      <w:pPr>
        <w:tabs>
          <w:tab w:val="center" w:pos="1080"/>
          <w:tab w:val="center" w:pos="2914"/>
          <w:tab w:val="center" w:pos="9929"/>
        </w:tabs>
        <w:spacing w:after="0" w:line="259" w:lineRule="auto"/>
        <w:ind w:left="-15" w:right="0" w:firstLine="0"/>
        <w:jc w:val="left"/>
      </w:pPr>
      <w:r>
        <w:rPr>
          <w:rFonts w:ascii="Calibri" w:eastAsia="Calibri" w:hAnsi="Calibri" w:cs="Calibri"/>
        </w:rPr>
        <w:tab/>
      </w:r>
      <w:r>
        <w:t xml:space="preserve"> </w:t>
      </w:r>
      <w:r>
        <w:tab/>
        <w:t xml:space="preserve">20% rate </w:t>
      </w:r>
      <w:r>
        <w:tab/>
        <w:t xml:space="preserve"> </w:t>
      </w:r>
      <w:r>
        <w:rPr>
          <w:u w:val="single" w:color="000000"/>
        </w:rPr>
        <w:t>×        20%</w:t>
      </w:r>
      <w:r>
        <w:t xml:space="preserve"> </w:t>
      </w:r>
    </w:p>
    <w:p w:rsidR="00C25E94" w:rsidRDefault="00AA21AD">
      <w:pPr>
        <w:tabs>
          <w:tab w:val="center" w:pos="1080"/>
          <w:tab w:val="center" w:pos="3552"/>
          <w:tab w:val="center" w:pos="9946"/>
        </w:tabs>
        <w:ind w:left="-15" w:right="0" w:firstLine="0"/>
        <w:jc w:val="left"/>
      </w:pPr>
      <w:r>
        <w:rPr>
          <w:rFonts w:ascii="Calibri" w:eastAsia="Calibri" w:hAnsi="Calibri" w:cs="Calibri"/>
        </w:rPr>
        <w:tab/>
      </w:r>
      <w:r>
        <w:t xml:space="preserve"> </w:t>
      </w:r>
      <w:r>
        <w:tab/>
        <w:t xml:space="preserve">Tentative minimum tax </w:t>
      </w:r>
      <w:r>
        <w:tab/>
      </w:r>
      <w:r>
        <w:rPr>
          <w:u w:val="double" w:color="000000"/>
        </w:rPr>
        <w:t>$1,275,000</w:t>
      </w:r>
      <w:r>
        <w:t xml:space="preserve"> </w:t>
      </w:r>
    </w:p>
    <w:p w:rsidR="00C25E94" w:rsidRDefault="00AA21AD">
      <w:pPr>
        <w:spacing w:after="0" w:line="259" w:lineRule="auto"/>
        <w:ind w:left="0" w:right="0" w:firstLine="0"/>
        <w:jc w:val="left"/>
      </w:pPr>
      <w:r>
        <w:t xml:space="preserve"> </w:t>
      </w:r>
      <w:r>
        <w:tab/>
        <w:t xml:space="preserve"> </w:t>
      </w:r>
      <w:r>
        <w:tab/>
        <w:t xml:space="preserve"> </w:t>
      </w:r>
    </w:p>
    <w:p w:rsidR="00C25E94" w:rsidRDefault="00AA21AD">
      <w:pPr>
        <w:numPr>
          <w:ilvl w:val="1"/>
          <w:numId w:val="12"/>
        </w:numPr>
        <w:ind w:right="43" w:hanging="720"/>
      </w:pPr>
      <w:r>
        <w:t xml:space="preserve">Tentative minimum tax (from part c. above) </w:t>
      </w:r>
      <w:r>
        <w:tab/>
        <w:t xml:space="preserve">$1,275,000  </w:t>
      </w:r>
      <w:r>
        <w:tab/>
        <w:t xml:space="preserve"> </w:t>
      </w:r>
      <w:r>
        <w:tab/>
        <w:t xml:space="preserve">Less: Regular tax ($3,950,000 × 34%) </w:t>
      </w:r>
      <w:r>
        <w:tab/>
      </w:r>
      <w:r>
        <w:rPr>
          <w:u w:val="single" w:color="000000"/>
        </w:rPr>
        <w:t xml:space="preserve"> (1,343,000</w:t>
      </w:r>
      <w:r>
        <w:t xml:space="preserve">) </w:t>
      </w:r>
    </w:p>
    <w:p w:rsidR="00C25E94" w:rsidRDefault="00AA21AD">
      <w:pPr>
        <w:ind w:left="-5" w:right="289" w:hanging="10"/>
        <w:jc w:val="left"/>
      </w:pPr>
      <w:r>
        <w:t xml:space="preserve"> </w:t>
      </w:r>
      <w:r>
        <w:tab/>
        <w:t xml:space="preserve"> </w:t>
      </w:r>
      <w:r>
        <w:tab/>
        <w:t xml:space="preserve">AMT </w:t>
      </w:r>
      <w:r>
        <w:tab/>
      </w:r>
      <w:r>
        <w:rPr>
          <w:u w:val="double" w:color="000000"/>
        </w:rPr>
        <w:t>$          –0–</w:t>
      </w:r>
      <w:r>
        <w:t xml:space="preserve">  </w:t>
      </w:r>
      <w:r>
        <w:rPr>
          <w:sz w:val="24"/>
        </w:rPr>
        <w:t xml:space="preserve"> </w:t>
      </w:r>
      <w:r>
        <w:rPr>
          <w:sz w:val="24"/>
        </w:rPr>
        <w:tab/>
        <w:t xml:space="preserve"> </w:t>
      </w:r>
      <w:r>
        <w:rPr>
          <w:sz w:val="24"/>
        </w:rPr>
        <w:tab/>
      </w:r>
      <w:r>
        <w:rPr>
          <w:sz w:val="24"/>
        </w:rPr>
        <w:t xml:space="preserve"> </w:t>
      </w:r>
    </w:p>
    <w:p w:rsidR="00C25E94" w:rsidRDefault="00AA21AD">
      <w:pPr>
        <w:numPr>
          <w:ilvl w:val="0"/>
          <w:numId w:val="12"/>
        </w:numPr>
        <w:spacing w:after="130"/>
        <w:ind w:right="43" w:hanging="719"/>
      </w:pPr>
      <w:r>
        <w:t xml:space="preserve">(LO 8) The adjustment for adjusted current earnings is 75% of the excess, if any, of the ACE over pre-adjusted AMTI. </w:t>
      </w:r>
    </w:p>
    <w:p w:rsidR="00C25E94" w:rsidRDefault="00AA21AD">
      <w:pPr>
        <w:pStyle w:val="Heading1"/>
        <w:tabs>
          <w:tab w:val="center" w:pos="3226"/>
          <w:tab w:val="center" w:pos="6248"/>
          <w:tab w:val="center" w:pos="9229"/>
        </w:tabs>
        <w:ind w:left="0" w:firstLine="0"/>
      </w:pPr>
      <w:r>
        <w:rPr>
          <w:rFonts w:ascii="Calibri" w:eastAsia="Calibri" w:hAnsi="Calibri" w:cs="Calibri"/>
          <w:b w:val="0"/>
        </w:rPr>
        <w:tab/>
      </w:r>
      <w:r>
        <w:t xml:space="preserve"> </w:t>
      </w:r>
      <w:r>
        <w:tab/>
        <w:t xml:space="preserve">Negative Adjustment </w:t>
      </w:r>
      <w:r>
        <w:tab/>
        <w:t xml:space="preserve">Positive Adjustment </w:t>
      </w:r>
    </w:p>
    <w:p w:rsidR="00C25E94" w:rsidRDefault="00AA21AD">
      <w:pPr>
        <w:numPr>
          <w:ilvl w:val="0"/>
          <w:numId w:val="14"/>
        </w:numPr>
        <w:ind w:right="43" w:hanging="6023"/>
      </w:pPr>
      <w:r>
        <w:t xml:space="preserve">None    (a) </w:t>
      </w:r>
      <w:r>
        <w:tab/>
        <w:t xml:space="preserve"> </w:t>
      </w:r>
    </w:p>
    <w:p w:rsidR="00C25E94" w:rsidRDefault="00AA21AD">
      <w:pPr>
        <w:numPr>
          <w:ilvl w:val="0"/>
          <w:numId w:val="14"/>
        </w:numPr>
        <w:ind w:right="43" w:hanging="6023"/>
      </w:pPr>
      <w:r>
        <w:t xml:space="preserve">$22,500,000(b) </w:t>
      </w:r>
    </w:p>
    <w:p w:rsidR="00C25E94" w:rsidRDefault="00AA21AD">
      <w:pPr>
        <w:numPr>
          <w:ilvl w:val="0"/>
          <w:numId w:val="14"/>
        </w:numPr>
        <w:ind w:right="43" w:hanging="6023"/>
      </w:pPr>
      <w:r>
        <w:t xml:space="preserve">$  7,500,000(c) </w:t>
      </w:r>
    </w:p>
    <w:p w:rsidR="00C25E94" w:rsidRDefault="00AA21AD">
      <w:pPr>
        <w:numPr>
          <w:ilvl w:val="0"/>
          <w:numId w:val="14"/>
        </w:numPr>
        <w:spacing w:after="161"/>
        <w:ind w:right="43" w:hanging="6023"/>
      </w:pPr>
      <w:r>
        <w:t xml:space="preserve">15,000,000(d) </w:t>
      </w:r>
    </w:p>
    <w:p w:rsidR="00C25E94" w:rsidRDefault="00AA21AD">
      <w:pPr>
        <w:numPr>
          <w:ilvl w:val="0"/>
          <w:numId w:val="15"/>
        </w:numPr>
        <w:spacing w:after="187"/>
        <w:ind w:right="43" w:hanging="541"/>
      </w:pPr>
      <w:r>
        <w:t xml:space="preserve">In 2014, Brown has a potential negative adjustment for ACE of $7,500,000 ($10,000,000 × 75%). However, since there has been no positive adjustment in a prior year, Brown is not allowed to use this negative adjustment to reduce AMTI. </w:t>
      </w:r>
    </w:p>
    <w:p w:rsidR="00C25E94" w:rsidRDefault="00AA21AD">
      <w:pPr>
        <w:numPr>
          <w:ilvl w:val="0"/>
          <w:numId w:val="15"/>
        </w:numPr>
        <w:spacing w:after="161"/>
        <w:ind w:right="43" w:hanging="541"/>
      </w:pPr>
      <w:r>
        <w:t>There is a positive ad</w:t>
      </w:r>
      <w:r>
        <w:t xml:space="preserve">justment in 2015 of ($90,000,000 – $60,000,000) × 75% = $22,500,000. </w:t>
      </w:r>
    </w:p>
    <w:p w:rsidR="00C25E94" w:rsidRDefault="00AA21AD">
      <w:pPr>
        <w:numPr>
          <w:ilvl w:val="0"/>
          <w:numId w:val="15"/>
        </w:numPr>
        <w:spacing w:after="160"/>
        <w:ind w:right="43" w:hanging="541"/>
      </w:pPr>
      <w:r>
        <w:t xml:space="preserve">In 2016, Brown is allowed a negative adjustment of $7,500,000 (75% × $10,000,000) because the positive adjustment incurred in 2015 exceeds the negative adjustments for the year. </w:t>
      </w:r>
    </w:p>
    <w:p w:rsidR="00C25E94" w:rsidRDefault="00AA21AD">
      <w:pPr>
        <w:numPr>
          <w:ilvl w:val="0"/>
          <w:numId w:val="15"/>
        </w:numPr>
        <w:spacing w:after="247"/>
        <w:ind w:right="43" w:hanging="541"/>
      </w:pPr>
      <w:r>
        <w:t>Brown h</w:t>
      </w:r>
      <w:r>
        <w:t xml:space="preserve">as a potential negative adjustment of $26,250,000 (75% × $35,000,000) in 2017. Since only $15,000,000 ($22,500,000 – $7,500,000) remains in the cumulative positive adjustments, Brown is limited to a $15,000,000 negative adjustment. </w:t>
      </w:r>
    </w:p>
    <w:p w:rsidR="00C25E94" w:rsidRDefault="00AA21AD">
      <w:pPr>
        <w:numPr>
          <w:ilvl w:val="0"/>
          <w:numId w:val="16"/>
        </w:numPr>
        <w:ind w:right="43" w:hanging="719"/>
      </w:pPr>
      <w:r>
        <w:t xml:space="preserve">(LO 8) </w:t>
      </w:r>
    </w:p>
    <w:p w:rsidR="00C25E94" w:rsidRDefault="00AA21AD">
      <w:pPr>
        <w:tabs>
          <w:tab w:val="center" w:pos="1080"/>
          <w:tab w:val="center" w:pos="2081"/>
          <w:tab w:val="center" w:pos="9531"/>
        </w:tabs>
        <w:ind w:left="-15" w:right="0" w:firstLine="0"/>
        <w:jc w:val="left"/>
      </w:pPr>
      <w:r>
        <w:rPr>
          <w:rFonts w:ascii="Calibri" w:eastAsia="Calibri" w:hAnsi="Calibri" w:cs="Calibri"/>
        </w:rPr>
        <w:tab/>
      </w:r>
      <w:r>
        <w:t xml:space="preserve"> </w:t>
      </w:r>
      <w:r>
        <w:tab/>
        <w:t xml:space="preserve">AMTI  </w:t>
      </w:r>
      <w:r>
        <w:tab/>
        <w:t>$  7,</w:t>
      </w:r>
      <w:r>
        <w:t xml:space="preserve">220,000 </w:t>
      </w:r>
    </w:p>
    <w:p w:rsidR="00C25E94" w:rsidRDefault="00AA21AD">
      <w:pPr>
        <w:tabs>
          <w:tab w:val="center" w:pos="2020"/>
          <w:tab w:val="center" w:pos="3931"/>
          <w:tab w:val="center" w:pos="10080"/>
        </w:tabs>
        <w:ind w:left="0" w:right="0" w:firstLine="0"/>
        <w:jc w:val="left"/>
      </w:pPr>
      <w:r>
        <w:rPr>
          <w:rFonts w:ascii="Calibri" w:eastAsia="Calibri" w:hAnsi="Calibri" w:cs="Calibri"/>
        </w:rPr>
        <w:tab/>
      </w:r>
      <w:r>
        <w:t xml:space="preserve">Plus: </w:t>
      </w:r>
      <w:r>
        <w:tab/>
        <w:t xml:space="preserve"> </w:t>
      </w:r>
      <w:r>
        <w:tab/>
        <w:t xml:space="preserve"> </w:t>
      </w:r>
    </w:p>
    <w:p w:rsidR="00C25E94" w:rsidRDefault="00AA21AD">
      <w:pPr>
        <w:tabs>
          <w:tab w:val="center" w:pos="1080"/>
          <w:tab w:val="center" w:pos="4090"/>
          <w:tab w:val="center" w:pos="7787"/>
        </w:tabs>
        <w:ind w:left="-15" w:right="0" w:firstLine="0"/>
        <w:jc w:val="left"/>
      </w:pPr>
      <w:r>
        <w:rPr>
          <w:rFonts w:ascii="Calibri" w:eastAsia="Calibri" w:hAnsi="Calibri" w:cs="Calibri"/>
        </w:rPr>
        <w:tab/>
      </w:r>
      <w:r>
        <w:t xml:space="preserve"> </w:t>
      </w:r>
      <w:r>
        <w:tab/>
        <w:t xml:space="preserve">   Net municipal bond interest ($630,000 – $61,000) </w:t>
      </w:r>
      <w:r>
        <w:tab/>
        <w:t xml:space="preserve">$   569,000 </w:t>
      </w:r>
    </w:p>
    <w:p w:rsidR="00C25E94" w:rsidRDefault="00AA21AD">
      <w:pPr>
        <w:ind w:left="722" w:right="1911"/>
      </w:pPr>
      <w:r>
        <w:t xml:space="preserve">   Life insurance proceeds  </w:t>
      </w:r>
      <w:r>
        <w:tab/>
        <w:t xml:space="preserve">2,000,000    Excess FIFO over LIFO  </w:t>
      </w:r>
      <w:r>
        <w:tab/>
        <w:t xml:space="preserve">170,000 </w:t>
      </w:r>
    </w:p>
    <w:p w:rsidR="00C25E94" w:rsidRDefault="00AA21AD">
      <w:pPr>
        <w:tabs>
          <w:tab w:val="center" w:pos="2882"/>
          <w:tab w:val="center" w:pos="7786"/>
          <w:tab w:val="center" w:pos="9548"/>
        </w:tabs>
        <w:ind w:left="0" w:right="0" w:firstLine="0"/>
        <w:jc w:val="left"/>
      </w:pPr>
      <w:r>
        <w:rPr>
          <w:rFonts w:ascii="Calibri" w:eastAsia="Calibri" w:hAnsi="Calibri" w:cs="Calibri"/>
        </w:rPr>
        <w:tab/>
      </w:r>
      <w:r>
        <w:t xml:space="preserve">   Organization expenses </w:t>
      </w:r>
      <w:r>
        <w:tab/>
      </w:r>
      <w:r>
        <w:rPr>
          <w:u w:val="single" w:color="000000"/>
        </w:rPr>
        <w:t xml:space="preserve">     200,000</w:t>
      </w:r>
      <w:r>
        <w:t xml:space="preserve"> </w:t>
      </w:r>
      <w:r>
        <w:tab/>
      </w:r>
      <w:r>
        <w:rPr>
          <w:u w:val="single" w:color="000000"/>
        </w:rPr>
        <w:t xml:space="preserve">    2,939,000</w:t>
      </w:r>
      <w:r>
        <w:t xml:space="preserve">  </w:t>
      </w:r>
    </w:p>
    <w:p w:rsidR="00C25E94" w:rsidRDefault="00AA21AD">
      <w:pPr>
        <w:tabs>
          <w:tab w:val="center" w:pos="2491"/>
          <w:tab w:val="center" w:pos="3232"/>
          <w:tab w:val="center" w:pos="3931"/>
          <w:tab w:val="center" w:pos="7560"/>
          <w:tab w:val="center" w:pos="9530"/>
        </w:tabs>
        <w:ind w:left="0" w:right="0" w:firstLine="0"/>
        <w:jc w:val="left"/>
      </w:pPr>
      <w:r>
        <w:rPr>
          <w:rFonts w:ascii="Calibri" w:eastAsia="Calibri" w:hAnsi="Calibri" w:cs="Calibri"/>
        </w:rPr>
        <w:tab/>
      </w:r>
      <w:r>
        <w:t xml:space="preserve"> </w:t>
      </w:r>
      <w:r>
        <w:tab/>
        <w:t xml:space="preserve"> </w:t>
      </w:r>
      <w:r>
        <w:tab/>
        <w:t xml:space="preserve"> </w:t>
      </w:r>
      <w:r>
        <w:tab/>
        <w:t xml:space="preserve"> </w:t>
      </w:r>
      <w:r>
        <w:tab/>
        <w:t xml:space="preserve">$10,159,000 </w:t>
      </w:r>
    </w:p>
    <w:p w:rsidR="00C25E94" w:rsidRDefault="00AA21AD">
      <w:pPr>
        <w:tabs>
          <w:tab w:val="center" w:pos="3159"/>
          <w:tab w:val="center" w:pos="6841"/>
          <w:tab w:val="center" w:pos="9567"/>
        </w:tabs>
        <w:ind w:left="0" w:right="0" w:firstLine="0"/>
        <w:jc w:val="left"/>
      </w:pPr>
      <w:r>
        <w:rPr>
          <w:rFonts w:ascii="Calibri" w:eastAsia="Calibri" w:hAnsi="Calibri" w:cs="Calibri"/>
        </w:rPr>
        <w:tab/>
      </w:r>
      <w:r>
        <w:t xml:space="preserve">Less: Life insurance premiums  </w:t>
      </w:r>
      <w:r>
        <w:tab/>
        <w:t xml:space="preserve"> </w:t>
      </w:r>
      <w:r>
        <w:tab/>
      </w:r>
      <w:r>
        <w:rPr>
          <w:u w:val="single" w:color="000000"/>
        </w:rPr>
        <w:t xml:space="preserve">      (310,000</w:t>
      </w:r>
      <w:r>
        <w:t xml:space="preserve">) </w:t>
      </w:r>
    </w:p>
    <w:p w:rsidR="00C25E94" w:rsidRDefault="00AA21AD">
      <w:pPr>
        <w:tabs>
          <w:tab w:val="center" w:pos="1080"/>
          <w:tab w:val="center" w:pos="2936"/>
          <w:tab w:val="center" w:pos="9551"/>
        </w:tabs>
        <w:spacing w:after="227"/>
        <w:ind w:left="-15" w:right="0" w:firstLine="0"/>
        <w:jc w:val="left"/>
      </w:pPr>
      <w:r>
        <w:rPr>
          <w:rFonts w:ascii="Calibri" w:eastAsia="Calibri" w:hAnsi="Calibri" w:cs="Calibri"/>
        </w:rPr>
        <w:tab/>
      </w:r>
      <w:r>
        <w:t xml:space="preserve"> </w:t>
      </w:r>
      <w:r>
        <w:tab/>
        <w:t xml:space="preserve">Adjusted current earnings  </w:t>
      </w:r>
      <w:r>
        <w:tab/>
      </w:r>
      <w:r>
        <w:rPr>
          <w:u w:val="double" w:color="000000"/>
        </w:rPr>
        <w:t>$  9,849,000</w:t>
      </w:r>
      <w:r>
        <w:t xml:space="preserve">  </w:t>
      </w:r>
    </w:p>
    <w:p w:rsidR="00C25E94" w:rsidRDefault="00AA21AD">
      <w:pPr>
        <w:numPr>
          <w:ilvl w:val="0"/>
          <w:numId w:val="16"/>
        </w:numPr>
        <w:ind w:right="43" w:hanging="719"/>
      </w:pPr>
      <w:r>
        <w:t xml:space="preserve">(LO 6, 7) </w:t>
      </w:r>
    </w:p>
    <w:p w:rsidR="00C25E94" w:rsidRDefault="00AA21AD">
      <w:pPr>
        <w:tabs>
          <w:tab w:val="center" w:pos="1080"/>
          <w:tab w:val="center" w:pos="2634"/>
        </w:tabs>
        <w:spacing w:after="188"/>
        <w:ind w:left="-15" w:right="0" w:firstLine="0"/>
        <w:jc w:val="left"/>
      </w:pPr>
      <w:r>
        <w:rPr>
          <w:rFonts w:ascii="Calibri" w:eastAsia="Calibri" w:hAnsi="Calibri" w:cs="Calibri"/>
        </w:rPr>
        <w:tab/>
      </w:r>
      <w:r>
        <w:t xml:space="preserve"> </w:t>
      </w:r>
      <w:r>
        <w:tab/>
        <w:t xml:space="preserve">Brant Corporation: </w:t>
      </w:r>
    </w:p>
    <w:p w:rsidR="00C25E94" w:rsidRDefault="00AA21AD">
      <w:pPr>
        <w:tabs>
          <w:tab w:val="center" w:pos="1800"/>
          <w:tab w:val="center" w:pos="2801"/>
          <w:tab w:val="center" w:pos="9669"/>
        </w:tabs>
        <w:ind w:left="0" w:right="0" w:firstLine="0"/>
        <w:jc w:val="left"/>
      </w:pPr>
      <w:r>
        <w:rPr>
          <w:rFonts w:ascii="Calibri" w:eastAsia="Calibri" w:hAnsi="Calibri" w:cs="Calibri"/>
        </w:rPr>
        <w:tab/>
      </w:r>
      <w:r>
        <w:t xml:space="preserve"> </w:t>
      </w:r>
      <w:r>
        <w:tab/>
        <w:t xml:space="preserve">AMTI </w:t>
      </w:r>
      <w:r>
        <w:tab/>
        <w:t xml:space="preserve">$135,000 </w:t>
      </w:r>
    </w:p>
    <w:p w:rsidR="00C25E94" w:rsidRDefault="00AA21AD">
      <w:pPr>
        <w:tabs>
          <w:tab w:val="center" w:pos="5128"/>
          <w:tab w:val="center" w:pos="9694"/>
        </w:tabs>
        <w:ind w:left="0" w:right="0" w:firstLine="0"/>
        <w:jc w:val="left"/>
      </w:pPr>
      <w:r>
        <w:rPr>
          <w:rFonts w:ascii="Calibri" w:eastAsia="Calibri" w:hAnsi="Calibri" w:cs="Calibri"/>
        </w:rPr>
        <w:tab/>
      </w:r>
      <w:r>
        <w:t xml:space="preserve">Less: Exemption amount (no reduction; AMTI &lt; $150,000) </w:t>
      </w:r>
      <w:r>
        <w:tab/>
      </w:r>
      <w:r>
        <w:rPr>
          <w:u w:val="single" w:color="000000"/>
        </w:rPr>
        <w:t xml:space="preserve">   (40,000</w:t>
      </w:r>
      <w:r>
        <w:t xml:space="preserve">) </w:t>
      </w:r>
    </w:p>
    <w:p w:rsidR="00C25E94" w:rsidRDefault="00AA21AD">
      <w:pPr>
        <w:tabs>
          <w:tab w:val="center" w:pos="4204"/>
          <w:tab w:val="center" w:pos="9686"/>
        </w:tabs>
        <w:ind w:left="0" w:right="0" w:firstLine="0"/>
        <w:jc w:val="left"/>
      </w:pPr>
      <w:r>
        <w:rPr>
          <w:rFonts w:ascii="Calibri" w:eastAsia="Calibri" w:hAnsi="Calibri" w:cs="Calibri"/>
        </w:rPr>
        <w:lastRenderedPageBreak/>
        <w:tab/>
      </w:r>
      <w:r>
        <w:t xml:space="preserve">AMTI that exceeds exemption amount </w:t>
      </w:r>
      <w:r>
        <w:tab/>
        <w:t xml:space="preserve">$  95,000  </w:t>
      </w:r>
    </w:p>
    <w:p w:rsidR="00C25E94" w:rsidRDefault="00AA21AD">
      <w:pPr>
        <w:spacing w:after="139"/>
        <w:ind w:left="1434" w:right="43"/>
      </w:pPr>
      <w:r>
        <w:t xml:space="preserve">AMT tax rate </w:t>
      </w:r>
      <w:r>
        <w:tab/>
      </w:r>
      <w:r>
        <w:rPr>
          <w:u w:val="single" w:color="000000"/>
        </w:rPr>
        <w:t>×     20%</w:t>
      </w:r>
      <w:r>
        <w:t xml:space="preserve">  Tentative minimum tax </w:t>
      </w:r>
      <w:r>
        <w:tab/>
      </w:r>
      <w:r>
        <w:rPr>
          <w:u w:val="double" w:color="000000"/>
        </w:rPr>
        <w:t>$  19,000</w:t>
      </w:r>
      <w:r>
        <w:t xml:space="preserve">  Tern Corporation: </w:t>
      </w:r>
    </w:p>
    <w:p w:rsidR="00C25E94" w:rsidRDefault="00AA21AD">
      <w:pPr>
        <w:tabs>
          <w:tab w:val="center" w:pos="992"/>
        </w:tabs>
        <w:spacing w:after="116" w:line="259" w:lineRule="auto"/>
        <w:ind w:left="0" w:right="0" w:firstLine="0"/>
        <w:jc w:val="left"/>
      </w:pPr>
      <w:r>
        <w:t xml:space="preserve"> </w:t>
      </w:r>
      <w:r>
        <w:tab/>
      </w:r>
      <w:r>
        <w:rPr>
          <w:i/>
        </w:rPr>
        <w:t xml:space="preserve">Step 1 </w:t>
      </w:r>
    </w:p>
    <w:p w:rsidR="00C25E94" w:rsidRDefault="00AA21AD">
      <w:pPr>
        <w:tabs>
          <w:tab w:val="center" w:pos="1707"/>
          <w:tab w:val="center" w:pos="2737"/>
          <w:tab w:val="center" w:pos="8589"/>
        </w:tabs>
        <w:ind w:left="0" w:right="0" w:firstLine="0"/>
        <w:jc w:val="left"/>
      </w:pPr>
      <w:r>
        <w:rPr>
          <w:rFonts w:ascii="Calibri" w:eastAsia="Calibri" w:hAnsi="Calibri" w:cs="Calibri"/>
        </w:rPr>
        <w:tab/>
      </w:r>
      <w:r>
        <w:t xml:space="preserve">AMTI </w:t>
      </w:r>
      <w:r>
        <w:tab/>
        <w:t xml:space="preserve"> </w:t>
      </w:r>
      <w:r>
        <w:tab/>
        <w:t xml:space="preserve">$190,000 </w:t>
      </w:r>
    </w:p>
    <w:p w:rsidR="00C25E94" w:rsidRDefault="00AA21AD">
      <w:pPr>
        <w:tabs>
          <w:tab w:val="center" w:pos="1628"/>
          <w:tab w:val="center" w:pos="2737"/>
          <w:tab w:val="center" w:pos="8642"/>
        </w:tabs>
        <w:spacing w:after="0" w:line="259" w:lineRule="auto"/>
        <w:ind w:left="0" w:right="0" w:firstLine="0"/>
        <w:jc w:val="left"/>
      </w:pPr>
      <w:r>
        <w:rPr>
          <w:rFonts w:ascii="Calibri" w:eastAsia="Calibri" w:hAnsi="Calibri" w:cs="Calibri"/>
        </w:rPr>
        <w:tab/>
      </w:r>
      <w:r>
        <w:t xml:space="preserve">Less </w:t>
      </w:r>
      <w:r>
        <w:tab/>
        <w:t xml:space="preserve"> </w:t>
      </w:r>
      <w:r>
        <w:tab/>
      </w:r>
      <w:r>
        <w:rPr>
          <w:u w:val="single" w:color="000000"/>
        </w:rPr>
        <w:t>(150,000</w:t>
      </w:r>
      <w:r>
        <w:t xml:space="preserve">) </w:t>
      </w:r>
    </w:p>
    <w:p w:rsidR="00C25E94" w:rsidRDefault="00AA21AD">
      <w:pPr>
        <w:tabs>
          <w:tab w:val="center" w:pos="3344"/>
          <w:tab w:val="center" w:pos="8605"/>
        </w:tabs>
        <w:ind w:left="0" w:right="0" w:firstLine="0"/>
        <w:jc w:val="left"/>
      </w:pPr>
      <w:r>
        <w:rPr>
          <w:rFonts w:ascii="Calibri" w:eastAsia="Calibri" w:hAnsi="Calibri" w:cs="Calibri"/>
        </w:rPr>
        <w:tab/>
      </w:r>
      <w:r>
        <w:t xml:space="preserve">Amount by which AMTI exceeds $150,000 </w:t>
      </w:r>
      <w:r>
        <w:tab/>
        <w:t xml:space="preserve">$  40,000  </w:t>
      </w:r>
    </w:p>
    <w:p w:rsidR="00C25E94" w:rsidRDefault="00AA21AD">
      <w:pPr>
        <w:spacing w:after="118"/>
        <w:ind w:left="1434" w:right="43"/>
      </w:pPr>
      <w:r>
        <w:t xml:space="preserve">Reduction rate  </w:t>
      </w:r>
      <w:r>
        <w:tab/>
      </w:r>
      <w:r>
        <w:rPr>
          <w:u w:val="single" w:color="000000"/>
        </w:rPr>
        <w:t>×     25%</w:t>
      </w:r>
      <w:r>
        <w:t xml:space="preserve">  Applicable reduction in exemption amount </w:t>
      </w:r>
      <w:r>
        <w:rPr>
          <w:u w:val="double" w:color="000000"/>
        </w:rPr>
        <w:t>$  10,000</w:t>
      </w:r>
      <w:r>
        <w:t xml:space="preserve">  </w:t>
      </w:r>
    </w:p>
    <w:p w:rsidR="00C25E94" w:rsidRDefault="00AA21AD">
      <w:pPr>
        <w:spacing w:after="116" w:line="259" w:lineRule="auto"/>
        <w:ind w:left="715" w:right="41" w:hanging="10"/>
      </w:pPr>
      <w:r>
        <w:rPr>
          <w:i/>
        </w:rPr>
        <w:t xml:space="preserve">Step 2 </w:t>
      </w:r>
    </w:p>
    <w:p w:rsidR="00C25E94" w:rsidRDefault="00AA21AD">
      <w:pPr>
        <w:tabs>
          <w:tab w:val="center" w:pos="2272"/>
          <w:tab w:val="center" w:pos="8588"/>
        </w:tabs>
        <w:ind w:left="0" w:right="0" w:firstLine="0"/>
        <w:jc w:val="left"/>
      </w:pPr>
      <w:r>
        <w:rPr>
          <w:rFonts w:ascii="Calibri" w:eastAsia="Calibri" w:hAnsi="Calibri" w:cs="Calibri"/>
        </w:rPr>
        <w:tab/>
      </w:r>
      <w:r>
        <w:t xml:space="preserve">Exemption amount </w:t>
      </w:r>
      <w:r>
        <w:tab/>
        <w:t xml:space="preserve">$  40,000 </w:t>
      </w:r>
    </w:p>
    <w:p w:rsidR="00C25E94" w:rsidRDefault="00AA21AD">
      <w:pPr>
        <w:spacing w:after="121"/>
        <w:ind w:left="1428" w:right="43"/>
      </w:pPr>
      <w:r>
        <w:t xml:space="preserve">Less: Reduction in exemption amount (see Step 1) </w:t>
      </w:r>
      <w:r>
        <w:rPr>
          <w:u w:val="single" w:color="000000"/>
        </w:rPr>
        <w:t xml:space="preserve">   (10,000</w:t>
      </w:r>
      <w:r>
        <w:t xml:space="preserve">) Applicable exemption amount </w:t>
      </w:r>
      <w:r>
        <w:tab/>
      </w:r>
      <w:r>
        <w:rPr>
          <w:u w:val="double" w:color="000000"/>
        </w:rPr>
        <w:t>$  30,000</w:t>
      </w:r>
      <w:r>
        <w:t xml:space="preserve">  </w:t>
      </w:r>
    </w:p>
    <w:p w:rsidR="00C25E94" w:rsidRDefault="00AA21AD">
      <w:pPr>
        <w:spacing w:after="116" w:line="259" w:lineRule="auto"/>
        <w:ind w:left="715" w:right="41" w:hanging="10"/>
      </w:pPr>
      <w:r>
        <w:rPr>
          <w:i/>
        </w:rPr>
        <w:t xml:space="preserve">Step 3 </w:t>
      </w:r>
    </w:p>
    <w:p w:rsidR="00C25E94" w:rsidRDefault="00AA21AD">
      <w:pPr>
        <w:tabs>
          <w:tab w:val="center" w:pos="1713"/>
          <w:tab w:val="center" w:pos="2737"/>
          <w:tab w:val="center" w:pos="8589"/>
        </w:tabs>
        <w:ind w:left="0" w:right="0" w:firstLine="0"/>
        <w:jc w:val="left"/>
      </w:pPr>
      <w:r>
        <w:rPr>
          <w:rFonts w:ascii="Calibri" w:eastAsia="Calibri" w:hAnsi="Calibri" w:cs="Calibri"/>
        </w:rPr>
        <w:tab/>
      </w:r>
      <w:r>
        <w:t xml:space="preserve">AMTI </w:t>
      </w:r>
      <w:r>
        <w:tab/>
        <w:t xml:space="preserve"> </w:t>
      </w:r>
      <w:r>
        <w:tab/>
        <w:t xml:space="preserve">$190,000 </w:t>
      </w:r>
    </w:p>
    <w:p w:rsidR="00C25E94" w:rsidRDefault="00AA21AD">
      <w:pPr>
        <w:tabs>
          <w:tab w:val="center" w:pos="3565"/>
          <w:tab w:val="center" w:pos="8644"/>
        </w:tabs>
        <w:ind w:left="0" w:right="0" w:firstLine="0"/>
        <w:jc w:val="left"/>
      </w:pPr>
      <w:r>
        <w:rPr>
          <w:rFonts w:ascii="Calibri" w:eastAsia="Calibri" w:hAnsi="Calibri" w:cs="Calibri"/>
        </w:rPr>
        <w:tab/>
      </w:r>
      <w:r>
        <w:t>Less: Applicable exemption amount</w:t>
      </w:r>
      <w:r>
        <w:t xml:space="preserve"> (see Step 2) </w:t>
      </w:r>
      <w:r>
        <w:tab/>
      </w:r>
      <w:r>
        <w:rPr>
          <w:u w:val="single" w:color="000000"/>
        </w:rPr>
        <w:t xml:space="preserve">  (30,000</w:t>
      </w:r>
      <w:r>
        <w:t xml:space="preserve">) </w:t>
      </w:r>
    </w:p>
    <w:p w:rsidR="00C25E94" w:rsidRDefault="00AA21AD">
      <w:pPr>
        <w:tabs>
          <w:tab w:val="center" w:pos="3124"/>
          <w:tab w:val="center" w:pos="8604"/>
        </w:tabs>
        <w:ind w:left="0" w:right="0" w:firstLine="0"/>
        <w:jc w:val="left"/>
      </w:pPr>
      <w:r>
        <w:rPr>
          <w:rFonts w:ascii="Calibri" w:eastAsia="Calibri" w:hAnsi="Calibri" w:cs="Calibri"/>
        </w:rPr>
        <w:tab/>
      </w:r>
      <w:r>
        <w:t xml:space="preserve">AMTI that exceeds exemption amount                         </w:t>
      </w:r>
      <w:r>
        <w:tab/>
        <w:t xml:space="preserve">$160,000  </w:t>
      </w:r>
    </w:p>
    <w:p w:rsidR="00C25E94" w:rsidRDefault="00AA21AD">
      <w:pPr>
        <w:spacing w:after="120"/>
        <w:ind w:left="1434" w:right="43"/>
      </w:pPr>
      <w:r>
        <w:t xml:space="preserve">AMT tax rate  </w:t>
      </w:r>
      <w:r>
        <w:tab/>
      </w:r>
      <w:r>
        <w:rPr>
          <w:u w:val="single" w:color="000000"/>
        </w:rPr>
        <w:t>×     20%</w:t>
      </w:r>
      <w:r>
        <w:t xml:space="preserve">  Tentative minimum tax  </w:t>
      </w:r>
      <w:r>
        <w:tab/>
      </w:r>
      <w:r>
        <w:rPr>
          <w:u w:val="double" w:color="000000"/>
        </w:rPr>
        <w:t>$  32,000</w:t>
      </w:r>
      <w:r>
        <w:t xml:space="preserve">  </w:t>
      </w:r>
    </w:p>
    <w:p w:rsidR="00C25E94" w:rsidRDefault="00AA21AD">
      <w:pPr>
        <w:spacing w:after="115"/>
        <w:ind w:left="722" w:right="43"/>
      </w:pPr>
      <w:r>
        <w:t xml:space="preserve">Snipe Corporation: </w:t>
      </w:r>
    </w:p>
    <w:p w:rsidR="00C25E94" w:rsidRDefault="00AA21AD">
      <w:pPr>
        <w:spacing w:after="116" w:line="259" w:lineRule="auto"/>
        <w:ind w:left="715" w:right="41" w:hanging="10"/>
      </w:pPr>
      <w:r>
        <w:rPr>
          <w:i/>
        </w:rPr>
        <w:t xml:space="preserve">Step 1 </w:t>
      </w:r>
    </w:p>
    <w:p w:rsidR="00C25E94" w:rsidRDefault="00AA21AD">
      <w:pPr>
        <w:tabs>
          <w:tab w:val="center" w:pos="1713"/>
          <w:tab w:val="center" w:pos="2737"/>
          <w:tab w:val="center" w:pos="8589"/>
        </w:tabs>
        <w:ind w:left="0" w:right="0" w:firstLine="0"/>
        <w:jc w:val="left"/>
      </w:pPr>
      <w:r>
        <w:rPr>
          <w:rFonts w:ascii="Calibri" w:eastAsia="Calibri" w:hAnsi="Calibri" w:cs="Calibri"/>
        </w:rPr>
        <w:tab/>
      </w:r>
      <w:r>
        <w:t xml:space="preserve">AMTI </w:t>
      </w:r>
      <w:r>
        <w:tab/>
        <w:t xml:space="preserve"> </w:t>
      </w:r>
      <w:r>
        <w:tab/>
        <w:t xml:space="preserve">$325,000 </w:t>
      </w:r>
    </w:p>
    <w:p w:rsidR="00C25E94" w:rsidRDefault="00AA21AD">
      <w:pPr>
        <w:tabs>
          <w:tab w:val="center" w:pos="1627"/>
          <w:tab w:val="center" w:pos="2737"/>
          <w:tab w:val="center" w:pos="8642"/>
        </w:tabs>
        <w:spacing w:after="0" w:line="259" w:lineRule="auto"/>
        <w:ind w:left="0" w:right="0" w:firstLine="0"/>
        <w:jc w:val="left"/>
      </w:pPr>
      <w:r>
        <w:rPr>
          <w:rFonts w:ascii="Calibri" w:eastAsia="Calibri" w:hAnsi="Calibri" w:cs="Calibri"/>
        </w:rPr>
        <w:tab/>
      </w:r>
      <w:r>
        <w:t xml:space="preserve">Less  </w:t>
      </w:r>
      <w:r>
        <w:tab/>
        <w:t xml:space="preserve"> </w:t>
      </w:r>
      <w:r>
        <w:tab/>
      </w:r>
      <w:r>
        <w:rPr>
          <w:u w:val="single" w:color="000000"/>
        </w:rPr>
        <w:t>(150,000</w:t>
      </w:r>
      <w:r>
        <w:t xml:space="preserve">) </w:t>
      </w:r>
    </w:p>
    <w:p w:rsidR="00C25E94" w:rsidRDefault="00AA21AD">
      <w:pPr>
        <w:tabs>
          <w:tab w:val="center" w:pos="3344"/>
          <w:tab w:val="center" w:pos="8605"/>
        </w:tabs>
        <w:ind w:left="0" w:right="0" w:firstLine="0"/>
        <w:jc w:val="left"/>
      </w:pPr>
      <w:r>
        <w:rPr>
          <w:rFonts w:ascii="Calibri" w:eastAsia="Calibri" w:hAnsi="Calibri" w:cs="Calibri"/>
        </w:rPr>
        <w:tab/>
      </w:r>
      <w:r>
        <w:t xml:space="preserve">Amount by which AMTI exceeds $150,000 </w:t>
      </w:r>
      <w:r>
        <w:tab/>
        <w:t xml:space="preserve">$175,000  </w:t>
      </w:r>
    </w:p>
    <w:p w:rsidR="00C25E94" w:rsidRDefault="00AA21AD">
      <w:pPr>
        <w:spacing w:after="118"/>
        <w:ind w:left="1428" w:right="43"/>
      </w:pPr>
      <w:r>
        <w:t xml:space="preserve">Reduction rate  </w:t>
      </w:r>
      <w:r>
        <w:tab/>
      </w:r>
      <w:r>
        <w:rPr>
          <w:u w:val="single" w:color="000000"/>
        </w:rPr>
        <w:t>×     25%</w:t>
      </w:r>
      <w:r>
        <w:t xml:space="preserve">  Applicable reduction in exemption amount </w:t>
      </w:r>
      <w:r>
        <w:rPr>
          <w:u w:val="double" w:color="000000"/>
        </w:rPr>
        <w:t>$  43,750</w:t>
      </w:r>
      <w:r>
        <w:t xml:space="preserve">  </w:t>
      </w:r>
    </w:p>
    <w:p w:rsidR="00C25E94" w:rsidRDefault="00AA21AD">
      <w:pPr>
        <w:spacing w:after="116" w:line="259" w:lineRule="auto"/>
        <w:ind w:left="715" w:right="41" w:hanging="10"/>
      </w:pPr>
      <w:r>
        <w:rPr>
          <w:i/>
        </w:rPr>
        <w:t xml:space="preserve">Step 2 </w:t>
      </w:r>
    </w:p>
    <w:p w:rsidR="00C25E94" w:rsidRDefault="00AA21AD">
      <w:pPr>
        <w:tabs>
          <w:tab w:val="center" w:pos="2272"/>
          <w:tab w:val="center" w:pos="8588"/>
        </w:tabs>
        <w:ind w:left="0" w:right="0" w:firstLine="0"/>
        <w:jc w:val="left"/>
      </w:pPr>
      <w:r>
        <w:rPr>
          <w:rFonts w:ascii="Calibri" w:eastAsia="Calibri" w:hAnsi="Calibri" w:cs="Calibri"/>
        </w:rPr>
        <w:tab/>
      </w:r>
      <w:r>
        <w:t xml:space="preserve">Exemption amount </w:t>
      </w:r>
      <w:r>
        <w:tab/>
        <w:t xml:space="preserve">$  40,000 </w:t>
      </w:r>
    </w:p>
    <w:p w:rsidR="00C25E94" w:rsidRDefault="00AA21AD">
      <w:pPr>
        <w:spacing w:after="121"/>
        <w:ind w:left="1428" w:right="43"/>
      </w:pPr>
      <w:r>
        <w:t xml:space="preserve">Less: Reduction in exemption amount (see Step 1)        </w:t>
      </w:r>
      <w:r>
        <w:rPr>
          <w:u w:val="single" w:color="000000"/>
        </w:rPr>
        <w:t xml:space="preserve">   (43,750</w:t>
      </w:r>
      <w:r>
        <w:t>) Applicable exemptio</w:t>
      </w:r>
      <w:r>
        <w:t xml:space="preserve">n amount </w:t>
      </w:r>
      <w:r>
        <w:tab/>
      </w:r>
      <w:r>
        <w:rPr>
          <w:u w:val="double" w:color="000000"/>
        </w:rPr>
        <w:t>$       –0–</w:t>
      </w:r>
      <w:r>
        <w:t xml:space="preserve"> </w:t>
      </w:r>
    </w:p>
    <w:p w:rsidR="00C25E94" w:rsidRDefault="00AA21AD">
      <w:pPr>
        <w:spacing w:after="116" w:line="259" w:lineRule="auto"/>
        <w:ind w:left="715" w:right="41" w:hanging="10"/>
      </w:pPr>
      <w:r>
        <w:rPr>
          <w:i/>
        </w:rPr>
        <w:t xml:space="preserve">Step 3 </w:t>
      </w:r>
    </w:p>
    <w:p w:rsidR="00C25E94" w:rsidRDefault="00AA21AD">
      <w:pPr>
        <w:tabs>
          <w:tab w:val="center" w:pos="1713"/>
          <w:tab w:val="center" w:pos="2737"/>
          <w:tab w:val="center" w:pos="8589"/>
        </w:tabs>
        <w:ind w:left="0" w:right="0" w:firstLine="0"/>
        <w:jc w:val="left"/>
      </w:pPr>
      <w:r>
        <w:rPr>
          <w:rFonts w:ascii="Calibri" w:eastAsia="Calibri" w:hAnsi="Calibri" w:cs="Calibri"/>
        </w:rPr>
        <w:tab/>
      </w:r>
      <w:r>
        <w:t xml:space="preserve">AMTI </w:t>
      </w:r>
      <w:r>
        <w:tab/>
        <w:t xml:space="preserve"> </w:t>
      </w:r>
      <w:r>
        <w:tab/>
        <w:t xml:space="preserve">$325,000 </w:t>
      </w:r>
    </w:p>
    <w:p w:rsidR="00C25E94" w:rsidRDefault="00AA21AD">
      <w:pPr>
        <w:tabs>
          <w:tab w:val="center" w:pos="3571"/>
          <w:tab w:val="center" w:pos="8643"/>
        </w:tabs>
        <w:ind w:left="0" w:right="0" w:firstLine="0"/>
        <w:jc w:val="left"/>
      </w:pPr>
      <w:r>
        <w:rPr>
          <w:rFonts w:ascii="Calibri" w:eastAsia="Calibri" w:hAnsi="Calibri" w:cs="Calibri"/>
        </w:rPr>
        <w:tab/>
      </w:r>
      <w:r>
        <w:t xml:space="preserve">Less: Applicable exemption amount (see Step 2) </w:t>
      </w:r>
      <w:r>
        <w:tab/>
      </w:r>
      <w:r>
        <w:rPr>
          <w:u w:val="single" w:color="000000"/>
        </w:rPr>
        <w:t xml:space="preserve">       (–0–</w:t>
      </w:r>
      <w:r>
        <w:t xml:space="preserve">) </w:t>
      </w:r>
    </w:p>
    <w:p w:rsidR="00C25E94" w:rsidRDefault="00AA21AD">
      <w:pPr>
        <w:tabs>
          <w:tab w:val="center" w:pos="3130"/>
          <w:tab w:val="center" w:pos="8605"/>
        </w:tabs>
        <w:ind w:left="0" w:right="0" w:firstLine="0"/>
        <w:jc w:val="left"/>
      </w:pPr>
      <w:r>
        <w:rPr>
          <w:rFonts w:ascii="Calibri" w:eastAsia="Calibri" w:hAnsi="Calibri" w:cs="Calibri"/>
        </w:rPr>
        <w:tab/>
      </w:r>
      <w:r>
        <w:t xml:space="preserve">AMTI that exceeds exemption amount </w:t>
      </w:r>
      <w:r>
        <w:tab/>
        <w:t xml:space="preserve">$325,000  </w:t>
      </w:r>
    </w:p>
    <w:p w:rsidR="00C25E94" w:rsidRDefault="00AA21AD">
      <w:pPr>
        <w:spacing w:after="147"/>
        <w:ind w:left="1428" w:right="43"/>
      </w:pPr>
      <w:r>
        <w:t xml:space="preserve">AMT tax rate  </w:t>
      </w:r>
      <w:r>
        <w:tab/>
      </w:r>
      <w:r>
        <w:rPr>
          <w:u w:val="single" w:color="000000"/>
        </w:rPr>
        <w:t>×     20%</w:t>
      </w:r>
      <w:r>
        <w:t xml:space="preserve">  Tentative minimum tax </w:t>
      </w:r>
      <w:r>
        <w:tab/>
      </w:r>
      <w:r>
        <w:rPr>
          <w:u w:val="double" w:color="000000"/>
        </w:rPr>
        <w:t>$  65,000</w:t>
      </w:r>
      <w:r>
        <w:t xml:space="preserve">  </w:t>
      </w:r>
    </w:p>
    <w:p w:rsidR="00C25E94" w:rsidRDefault="00AA21AD">
      <w:pPr>
        <w:tabs>
          <w:tab w:val="center" w:pos="3600"/>
        </w:tabs>
        <w:spacing w:after="161"/>
        <w:ind w:left="-15" w:right="0" w:firstLine="0"/>
        <w:jc w:val="left"/>
      </w:pPr>
      <w:r>
        <w:t xml:space="preserve"> </w:t>
      </w:r>
      <w:r>
        <w:tab/>
        <w:t xml:space="preserve">Note: In this case, the exemption amount phased out at $310,000. </w:t>
      </w:r>
    </w:p>
    <w:p w:rsidR="00C25E94" w:rsidRDefault="00AA21AD">
      <w:pPr>
        <w:numPr>
          <w:ilvl w:val="0"/>
          <w:numId w:val="17"/>
        </w:numPr>
        <w:spacing w:after="187"/>
        <w:ind w:right="43" w:hanging="720"/>
      </w:pPr>
      <w:r>
        <w:t xml:space="preserve">(LO 8) $7,098,482. The tentative minimum tax before AMT foreign tax credit is $19,700,580 ($98,502,900 × 20%). Thus, the minimum tax is computed as follows. </w:t>
      </w:r>
    </w:p>
    <w:p w:rsidR="00C25E94" w:rsidRDefault="00AA21AD">
      <w:pPr>
        <w:tabs>
          <w:tab w:val="center" w:pos="3120"/>
          <w:tab w:val="center" w:pos="8452"/>
        </w:tabs>
        <w:ind w:left="-15" w:right="0" w:firstLine="0"/>
        <w:jc w:val="left"/>
      </w:pPr>
      <w:r>
        <w:t xml:space="preserve"> </w:t>
      </w:r>
      <w:r>
        <w:tab/>
        <w:t>Tentative minimum tax before</w:t>
      </w:r>
      <w:r>
        <w:t xml:space="preserve"> AMT foreign tax credit </w:t>
      </w:r>
      <w:r>
        <w:tab/>
        <w:t xml:space="preserve">$19,700,580 </w:t>
      </w:r>
    </w:p>
    <w:p w:rsidR="00C25E94" w:rsidRDefault="00AA21AD">
      <w:pPr>
        <w:tabs>
          <w:tab w:val="center" w:pos="2010"/>
          <w:tab w:val="center" w:pos="8496"/>
        </w:tabs>
        <w:ind w:left="-15" w:right="0" w:firstLine="0"/>
        <w:jc w:val="left"/>
      </w:pPr>
      <w:r>
        <w:t xml:space="preserve"> </w:t>
      </w:r>
      <w:r>
        <w:tab/>
        <w:t xml:space="preserve">Less: AMT foreign tax credit </w:t>
      </w:r>
      <w:r>
        <w:tab/>
      </w:r>
      <w:r>
        <w:rPr>
          <w:u w:val="single" w:color="000000"/>
        </w:rPr>
        <w:t xml:space="preserve">   (1,400,000</w:t>
      </w:r>
      <w:r>
        <w:t xml:space="preserve">) </w:t>
      </w:r>
    </w:p>
    <w:p w:rsidR="00C25E94" w:rsidRDefault="00AA21AD">
      <w:pPr>
        <w:tabs>
          <w:tab w:val="center" w:pos="1753"/>
          <w:tab w:val="center" w:pos="8452"/>
        </w:tabs>
        <w:ind w:left="-15" w:right="0" w:firstLine="0"/>
        <w:jc w:val="left"/>
      </w:pPr>
      <w:r>
        <w:t xml:space="preserve"> </w:t>
      </w:r>
      <w:r>
        <w:tab/>
        <w:t xml:space="preserve">Tentative minimum tax </w:t>
      </w:r>
      <w:r>
        <w:tab/>
        <w:t xml:space="preserve">$18,300,580 </w:t>
      </w:r>
    </w:p>
    <w:p w:rsidR="00C25E94" w:rsidRDefault="00AA21AD">
      <w:pPr>
        <w:spacing w:after="150"/>
        <w:ind w:left="-13" w:right="143"/>
      </w:pPr>
      <w:r>
        <w:t xml:space="preserve"> Less: Regular tax </w:t>
      </w:r>
      <w:r>
        <w:tab/>
      </w:r>
      <w:r>
        <w:rPr>
          <w:u w:val="single" w:color="000000"/>
        </w:rPr>
        <w:t xml:space="preserve"> (11,202,098</w:t>
      </w:r>
      <w:r>
        <w:t xml:space="preserve">)  AMT </w:t>
      </w:r>
      <w:r>
        <w:tab/>
      </w:r>
      <w:r>
        <w:rPr>
          <w:u w:val="double" w:color="000000"/>
        </w:rPr>
        <w:t>$  7,098,482</w:t>
      </w:r>
      <w:r>
        <w:t xml:space="preserve"> </w:t>
      </w:r>
    </w:p>
    <w:p w:rsidR="00C25E94" w:rsidRDefault="00AA21AD">
      <w:pPr>
        <w:tabs>
          <w:tab w:val="center" w:pos="3439"/>
        </w:tabs>
        <w:ind w:left="-15" w:right="0" w:firstLine="0"/>
        <w:jc w:val="left"/>
      </w:pPr>
      <w:r>
        <w:t xml:space="preserve"> </w:t>
      </w:r>
      <w:r>
        <w:tab/>
        <w:t xml:space="preserve">There is no carryover of an unused negative ACE adjustment. </w:t>
      </w:r>
    </w:p>
    <w:p w:rsidR="00C25E94" w:rsidRDefault="00AA21AD">
      <w:pPr>
        <w:numPr>
          <w:ilvl w:val="0"/>
          <w:numId w:val="17"/>
        </w:numPr>
        <w:ind w:right="43" w:hanging="720"/>
      </w:pPr>
      <w:r>
        <w:t xml:space="preserve">(LO 10) </w:t>
      </w:r>
    </w:p>
    <w:p w:rsidR="00C25E94" w:rsidRDefault="00AA21AD">
      <w:pPr>
        <w:numPr>
          <w:ilvl w:val="1"/>
          <w:numId w:val="17"/>
        </w:numPr>
        <w:spacing w:after="181"/>
        <w:ind w:right="43" w:hanging="721"/>
      </w:pPr>
      <w:r>
        <w:rPr>
          <w:u w:val="double" w:color="000000"/>
        </w:rPr>
        <w:lastRenderedPageBreak/>
        <w:t>$100,000</w:t>
      </w:r>
      <w:r>
        <w:t xml:space="preserve">. The reasonable needs of the business adjustment is only $100,000 ($3,100,000 – $3,000,000). This leaves $100,000 ($200,000 – $100,000) that needs to be paid as a dividend to make ATI equal to zero. </w:t>
      </w:r>
    </w:p>
    <w:p w:rsidR="00C25E94" w:rsidRDefault="00AA21AD">
      <w:pPr>
        <w:numPr>
          <w:ilvl w:val="1"/>
          <w:numId w:val="17"/>
        </w:numPr>
        <w:spacing w:after="206"/>
        <w:ind w:right="43" w:hanging="721"/>
      </w:pPr>
      <w:r>
        <w:rPr>
          <w:u w:val="double" w:color="000000"/>
        </w:rPr>
        <w:t>$200,000</w:t>
      </w:r>
      <w:r>
        <w:t>. Here, the same reasonable needs adjus</w:t>
      </w:r>
      <w:r>
        <w:t xml:space="preserve">tment applies as in part a. ($100,000), and leaves $200,000 to be distributed as a dividend [($300,000 – $100,000)]. </w:t>
      </w:r>
    </w:p>
    <w:p w:rsidR="00C25E94" w:rsidRDefault="00AA21AD">
      <w:pPr>
        <w:numPr>
          <w:ilvl w:val="1"/>
          <w:numId w:val="17"/>
        </w:numPr>
        <w:spacing w:after="209"/>
        <w:ind w:right="43" w:hanging="721"/>
      </w:pPr>
      <w:r>
        <w:rPr>
          <w:u w:val="double" w:color="000000"/>
        </w:rPr>
        <w:t>$0</w:t>
      </w:r>
      <w:r>
        <w:t xml:space="preserve">. The reasonable needs of the business have not been provided for. </w:t>
      </w:r>
    </w:p>
    <w:p w:rsidR="00C25E94" w:rsidRDefault="00AA21AD">
      <w:pPr>
        <w:numPr>
          <w:ilvl w:val="1"/>
          <w:numId w:val="17"/>
        </w:numPr>
        <w:spacing w:after="248"/>
        <w:ind w:right="43" w:hanging="721"/>
      </w:pPr>
      <w:r>
        <w:rPr>
          <w:u w:val="double" w:color="000000"/>
        </w:rPr>
        <w:t>$500,000</w:t>
      </w:r>
      <w:r>
        <w:t xml:space="preserve">. The reasonable needs of the business already have been satisfied. </w:t>
      </w:r>
    </w:p>
    <w:p w:rsidR="00C25E94" w:rsidRDefault="00AA21AD">
      <w:pPr>
        <w:numPr>
          <w:ilvl w:val="0"/>
          <w:numId w:val="17"/>
        </w:numPr>
        <w:spacing w:after="186"/>
        <w:ind w:right="43" w:hanging="720"/>
      </w:pPr>
      <w:r>
        <w:t xml:space="preserve">(LO 10) $243,504 ($177,480 + $66,024) or 46.6%. If a corporation qualifies for both the AET and the PHC tax, the PHC tax predominates. </w:t>
      </w:r>
    </w:p>
    <w:p w:rsidR="00C25E94" w:rsidRDefault="00AA21AD">
      <w:pPr>
        <w:tabs>
          <w:tab w:val="center" w:pos="1080"/>
          <w:tab w:val="center" w:pos="2506"/>
          <w:tab w:val="center" w:pos="8822"/>
          <w:tab w:val="center" w:pos="9669"/>
        </w:tabs>
        <w:ind w:left="-15" w:right="0" w:firstLine="0"/>
        <w:jc w:val="left"/>
      </w:pPr>
      <w:r>
        <w:rPr>
          <w:rFonts w:ascii="Calibri" w:eastAsia="Calibri" w:hAnsi="Calibri" w:cs="Calibri"/>
        </w:rPr>
        <w:tab/>
      </w:r>
      <w:r>
        <w:t xml:space="preserve"> </w:t>
      </w:r>
      <w:r>
        <w:tab/>
        <w:t xml:space="preserve">Taxable income </w:t>
      </w:r>
      <w:r>
        <w:tab/>
        <w:t xml:space="preserve"> </w:t>
      </w:r>
      <w:r>
        <w:tab/>
        <w:t xml:space="preserve">$522,000 </w:t>
      </w:r>
    </w:p>
    <w:p w:rsidR="00C25E94" w:rsidRDefault="00AA21AD">
      <w:pPr>
        <w:tabs>
          <w:tab w:val="center" w:pos="1080"/>
          <w:tab w:val="center" w:pos="3360"/>
          <w:tab w:val="center" w:pos="9668"/>
        </w:tabs>
        <w:ind w:left="-15" w:right="0" w:firstLine="0"/>
        <w:jc w:val="left"/>
      </w:pPr>
      <w:r>
        <w:rPr>
          <w:rFonts w:ascii="Calibri" w:eastAsia="Calibri" w:hAnsi="Calibri" w:cs="Calibri"/>
        </w:rPr>
        <w:tab/>
      </w:r>
      <w:r>
        <w:t xml:space="preserve"> </w:t>
      </w:r>
      <w:r>
        <w:tab/>
        <w:t>Plus: Dividends r</w:t>
      </w:r>
      <w:r>
        <w:t xml:space="preserve">eceived deduction </w:t>
      </w:r>
      <w:r>
        <w:tab/>
      </w:r>
      <w:r>
        <w:rPr>
          <w:u w:val="single" w:color="000000"/>
        </w:rPr>
        <w:t xml:space="preserve">    47,000</w:t>
      </w:r>
      <w:r>
        <w:t xml:space="preserve"> </w:t>
      </w:r>
    </w:p>
    <w:p w:rsidR="00C25E94" w:rsidRDefault="00AA21AD">
      <w:pPr>
        <w:tabs>
          <w:tab w:val="center" w:pos="1080"/>
          <w:tab w:val="center" w:pos="1800"/>
          <w:tab w:val="center" w:pos="9668"/>
        </w:tabs>
        <w:ind w:left="-15" w:right="0" w:firstLine="0"/>
        <w:jc w:val="left"/>
      </w:pPr>
      <w:r>
        <w:rPr>
          <w:rFonts w:ascii="Calibri" w:eastAsia="Calibri" w:hAnsi="Calibri" w:cs="Calibri"/>
        </w:rPr>
        <w:tab/>
      </w:r>
      <w:r>
        <w:t xml:space="preserve"> </w:t>
      </w:r>
      <w:r>
        <w:tab/>
        <w:t xml:space="preserve"> </w:t>
      </w:r>
      <w:r>
        <w:tab/>
        <w:t xml:space="preserve">$569,000 </w:t>
      </w:r>
    </w:p>
    <w:p w:rsidR="00C25E94" w:rsidRDefault="00AA21AD">
      <w:pPr>
        <w:tabs>
          <w:tab w:val="center" w:pos="1080"/>
          <w:tab w:val="center" w:pos="2995"/>
          <w:tab w:val="center" w:pos="7868"/>
        </w:tabs>
        <w:ind w:left="-15" w:right="0" w:firstLine="0"/>
        <w:jc w:val="left"/>
      </w:pPr>
      <w:r>
        <w:rPr>
          <w:rFonts w:ascii="Calibri" w:eastAsia="Calibri" w:hAnsi="Calibri" w:cs="Calibri"/>
        </w:rPr>
        <w:tab/>
      </w:r>
      <w:r>
        <w:t xml:space="preserve"> </w:t>
      </w:r>
      <w:r>
        <w:tab/>
        <w:t xml:space="preserve">Less: Federal income taxes </w:t>
      </w:r>
      <w:r>
        <w:tab/>
        <w:t xml:space="preserve">$177,480 </w:t>
      </w:r>
    </w:p>
    <w:p w:rsidR="00C25E94" w:rsidRDefault="00AA21AD">
      <w:pPr>
        <w:tabs>
          <w:tab w:val="center" w:pos="1080"/>
          <w:tab w:val="center" w:pos="1800"/>
          <w:tab w:val="center" w:pos="3715"/>
          <w:tab w:val="center" w:pos="7870"/>
          <w:tab w:val="center" w:pos="9696"/>
        </w:tabs>
        <w:ind w:left="-15" w:right="0" w:firstLine="0"/>
        <w:jc w:val="left"/>
      </w:pPr>
      <w:r>
        <w:rPr>
          <w:rFonts w:ascii="Calibri" w:eastAsia="Calibri" w:hAnsi="Calibri" w:cs="Calibri"/>
        </w:rPr>
        <w:tab/>
      </w:r>
      <w:r>
        <w:t xml:space="preserve"> </w:t>
      </w:r>
      <w:r>
        <w:tab/>
        <w:t xml:space="preserve"> </w:t>
      </w:r>
      <w:r>
        <w:tab/>
        <w:t xml:space="preserve">Excess charitable contributions </w:t>
      </w:r>
      <w:r>
        <w:tab/>
      </w:r>
      <w:r>
        <w:rPr>
          <w:u w:val="single" w:color="000000"/>
        </w:rPr>
        <w:t xml:space="preserve">    23,400</w:t>
      </w:r>
      <w:r>
        <w:t xml:space="preserve"> </w:t>
      </w:r>
      <w:r>
        <w:tab/>
      </w:r>
      <w:r>
        <w:rPr>
          <w:u w:val="single" w:color="000000"/>
        </w:rPr>
        <w:t xml:space="preserve"> (200,880</w:t>
      </w:r>
      <w:r>
        <w:t xml:space="preserve">) </w:t>
      </w:r>
    </w:p>
    <w:p w:rsidR="00C25E94" w:rsidRDefault="00AA21AD">
      <w:pPr>
        <w:tabs>
          <w:tab w:val="center" w:pos="1080"/>
          <w:tab w:val="center" w:pos="2340"/>
          <w:tab w:val="center" w:pos="8352"/>
          <w:tab w:val="center" w:pos="9668"/>
        </w:tabs>
        <w:ind w:left="-15" w:right="0" w:firstLine="0"/>
        <w:jc w:val="left"/>
      </w:pPr>
      <w:r>
        <w:rPr>
          <w:rFonts w:ascii="Calibri" w:eastAsia="Calibri" w:hAnsi="Calibri" w:cs="Calibri"/>
        </w:rPr>
        <w:tab/>
      </w:r>
      <w:r>
        <w:t xml:space="preserve"> </w:t>
      </w:r>
      <w:r>
        <w:tab/>
        <w:t xml:space="preserve"> </w:t>
      </w:r>
      <w:r>
        <w:tab/>
        <w:t xml:space="preserve"> </w:t>
      </w:r>
      <w:r>
        <w:tab/>
        <w:t xml:space="preserve">$368,120 </w:t>
      </w:r>
    </w:p>
    <w:p w:rsidR="00C25E94" w:rsidRDefault="00AA21AD">
      <w:pPr>
        <w:tabs>
          <w:tab w:val="center" w:pos="1080"/>
          <w:tab w:val="center" w:pos="2729"/>
          <w:tab w:val="center" w:pos="8353"/>
          <w:tab w:val="center" w:pos="9705"/>
        </w:tabs>
        <w:ind w:left="-15" w:right="0" w:firstLine="0"/>
        <w:jc w:val="left"/>
      </w:pPr>
      <w:r>
        <w:rPr>
          <w:rFonts w:ascii="Calibri" w:eastAsia="Calibri" w:hAnsi="Calibri" w:cs="Calibri"/>
        </w:rPr>
        <w:tab/>
      </w:r>
      <w:r>
        <w:t xml:space="preserve"> </w:t>
      </w:r>
      <w:r>
        <w:tab/>
        <w:t xml:space="preserve">Less: Dividends paid </w:t>
      </w:r>
      <w:r>
        <w:tab/>
        <w:t xml:space="preserve"> </w:t>
      </w:r>
      <w:r>
        <w:tab/>
      </w:r>
      <w:r>
        <w:rPr>
          <w:u w:val="single" w:color="000000"/>
        </w:rPr>
        <w:t xml:space="preserve">   (38,000</w:t>
      </w:r>
      <w:r>
        <w:t xml:space="preserve">) </w:t>
      </w:r>
    </w:p>
    <w:p w:rsidR="00C25E94" w:rsidRDefault="00AA21AD">
      <w:pPr>
        <w:tabs>
          <w:tab w:val="center" w:pos="1080"/>
          <w:tab w:val="center" w:pos="2130"/>
          <w:tab w:val="center" w:pos="9669"/>
        </w:tabs>
        <w:ind w:left="-15" w:right="0" w:firstLine="0"/>
        <w:jc w:val="left"/>
      </w:pPr>
      <w:r>
        <w:rPr>
          <w:rFonts w:ascii="Calibri" w:eastAsia="Calibri" w:hAnsi="Calibri" w:cs="Calibri"/>
        </w:rPr>
        <w:tab/>
      </w:r>
      <w:r>
        <w:t xml:space="preserve"> </w:t>
      </w:r>
      <w:r>
        <w:tab/>
        <w:t xml:space="preserve">UPHCI </w:t>
      </w:r>
      <w:r>
        <w:tab/>
        <w:t xml:space="preserve">$330,120 </w:t>
      </w:r>
    </w:p>
    <w:p w:rsidR="00C25E94" w:rsidRDefault="00AA21AD">
      <w:pPr>
        <w:tabs>
          <w:tab w:val="center" w:pos="1080"/>
          <w:tab w:val="center" w:pos="2878"/>
          <w:tab w:val="center" w:pos="9671"/>
        </w:tabs>
        <w:ind w:left="-15" w:right="0" w:firstLine="0"/>
        <w:jc w:val="left"/>
      </w:pPr>
      <w:r>
        <w:rPr>
          <w:rFonts w:ascii="Calibri" w:eastAsia="Calibri" w:hAnsi="Calibri" w:cs="Calibri"/>
        </w:rPr>
        <w:tab/>
      </w:r>
      <w:r>
        <w:t xml:space="preserve"> </w:t>
      </w:r>
      <w:r>
        <w:tab/>
        <w:t xml:space="preserve">Applicable PHC tax rate </w:t>
      </w:r>
      <w:r>
        <w:tab/>
      </w:r>
      <w:r>
        <w:rPr>
          <w:rFonts w:ascii="Segoe UI Symbol" w:eastAsia="Segoe UI Symbol" w:hAnsi="Segoe UI Symbol" w:cs="Segoe UI Symbol"/>
          <w:u w:val="single" w:color="000000"/>
        </w:rPr>
        <w:t>×</w:t>
      </w:r>
      <w:r>
        <w:rPr>
          <w:u w:val="single" w:color="000000"/>
        </w:rPr>
        <w:t xml:space="preserve">      20%</w:t>
      </w:r>
      <w:r>
        <w:t xml:space="preserve">  </w:t>
      </w:r>
    </w:p>
    <w:p w:rsidR="00C25E94" w:rsidRDefault="00AA21AD">
      <w:pPr>
        <w:tabs>
          <w:tab w:val="center" w:pos="2213"/>
          <w:tab w:val="center" w:pos="9686"/>
        </w:tabs>
        <w:spacing w:after="209"/>
        <w:ind w:left="0" w:right="0" w:firstLine="0"/>
        <w:jc w:val="left"/>
      </w:pPr>
      <w:r>
        <w:rPr>
          <w:rFonts w:ascii="Calibri" w:eastAsia="Calibri" w:hAnsi="Calibri" w:cs="Calibri"/>
        </w:rPr>
        <w:tab/>
      </w:r>
      <w:r>
        <w:t xml:space="preserve">PHC Tax </w:t>
      </w:r>
      <w:r>
        <w:tab/>
      </w:r>
      <w:r>
        <w:rPr>
          <w:u w:val="double" w:color="000000"/>
        </w:rPr>
        <w:t>$  66,024</w:t>
      </w:r>
      <w:r>
        <w:t xml:space="preserve">  </w:t>
      </w:r>
    </w:p>
    <w:p w:rsidR="00C25E94" w:rsidRDefault="00AA21AD">
      <w:pPr>
        <w:tabs>
          <w:tab w:val="center" w:pos="1080"/>
          <w:tab w:val="center" w:pos="4987"/>
        </w:tabs>
        <w:spacing w:after="394"/>
        <w:ind w:left="-15" w:right="0" w:firstLine="0"/>
        <w:jc w:val="left"/>
      </w:pPr>
      <w:r>
        <w:rPr>
          <w:rFonts w:ascii="Calibri" w:eastAsia="Calibri" w:hAnsi="Calibri" w:cs="Calibri"/>
        </w:rPr>
        <w:tab/>
      </w:r>
      <w:r>
        <w:t xml:space="preserve"> </w:t>
      </w:r>
      <w:r>
        <w:tab/>
        <w:t xml:space="preserve">Effective tax rate: $177,480 + $66,024 = $243,504 ÷ $522,000 = 46.6%. </w:t>
      </w:r>
    </w:p>
    <w:p w:rsidR="00C25E94" w:rsidRDefault="00AA21AD">
      <w:pPr>
        <w:pStyle w:val="Heading1"/>
        <w:spacing w:after="205"/>
        <w:ind w:left="-5"/>
      </w:pPr>
      <w:r>
        <w:t xml:space="preserve">RESEARCH PROBLEMS </w:t>
      </w:r>
    </w:p>
    <w:p w:rsidR="00C25E94" w:rsidRDefault="00AA21AD">
      <w:pPr>
        <w:numPr>
          <w:ilvl w:val="0"/>
          <w:numId w:val="18"/>
        </w:numPr>
        <w:ind w:right="43" w:hanging="610"/>
      </w:pPr>
      <w:r>
        <w:t xml:space="preserve">Deferred compensation costs (before the enactment of § 199) that are not part of CGS may relate to two different products. In LMSB 04-0209, the IRS Large and Mid-Size Business Division provided an acceptable method: safe harbor allocation method. Here the </w:t>
      </w:r>
      <w:r>
        <w:t xml:space="preserve">IRS said it would not challenge this method. </w:t>
      </w:r>
    </w:p>
    <w:p w:rsidR="00C25E94" w:rsidRDefault="00AA21AD">
      <w:pPr>
        <w:spacing w:after="0" w:line="259" w:lineRule="auto"/>
        <w:ind w:left="0" w:right="0" w:firstLine="0"/>
        <w:jc w:val="left"/>
      </w:pPr>
      <w:r>
        <w:t xml:space="preserve"> </w:t>
      </w:r>
    </w:p>
    <w:p w:rsidR="00C25E94" w:rsidRDefault="00AA21AD">
      <w:pPr>
        <w:ind w:left="722" w:right="43"/>
      </w:pPr>
      <w:r>
        <w:t xml:space="preserve">The safe-harbor method applies only to compensation expenses that: </w:t>
      </w:r>
    </w:p>
    <w:p w:rsidR="00C25E94" w:rsidRDefault="00AA21AD">
      <w:pPr>
        <w:numPr>
          <w:ilvl w:val="1"/>
          <w:numId w:val="18"/>
        </w:numPr>
        <w:ind w:right="43" w:hanging="720"/>
      </w:pPr>
      <w:r>
        <w:t xml:space="preserve">Are currently deductible, </w:t>
      </w:r>
    </w:p>
    <w:p w:rsidR="00C25E94" w:rsidRDefault="00AA21AD">
      <w:pPr>
        <w:numPr>
          <w:ilvl w:val="1"/>
          <w:numId w:val="18"/>
        </w:numPr>
        <w:ind w:right="43" w:hanging="720"/>
      </w:pPr>
      <w:r>
        <w:t xml:space="preserve">Relate to services provided to the taxpayer before the enactment of § 199, and </w:t>
      </w:r>
    </w:p>
    <w:p w:rsidR="00C25E94" w:rsidRDefault="00AA21AD">
      <w:pPr>
        <w:numPr>
          <w:ilvl w:val="1"/>
          <w:numId w:val="18"/>
        </w:numPr>
        <w:spacing w:after="187"/>
        <w:ind w:right="43" w:hanging="720"/>
      </w:pPr>
      <w:r>
        <w:t>Are not required to be included i</w:t>
      </w:r>
      <w:r>
        <w:t xml:space="preserve">n the taxpayer’s CGS. </w:t>
      </w:r>
    </w:p>
    <w:p w:rsidR="00C25E94" w:rsidRDefault="00AA21AD">
      <w:pPr>
        <w:numPr>
          <w:ilvl w:val="0"/>
          <w:numId w:val="18"/>
        </w:numPr>
        <w:ind w:right="43" w:hanging="610"/>
      </w:pPr>
      <w:r>
        <w:t xml:space="preserve">TAX FILE MEMORANDUM </w:t>
      </w:r>
    </w:p>
    <w:p w:rsidR="00C25E94" w:rsidRDefault="00AA21AD">
      <w:pPr>
        <w:spacing w:after="0" w:line="259" w:lineRule="auto"/>
        <w:ind w:left="0" w:right="0" w:firstLine="0"/>
        <w:jc w:val="left"/>
      </w:pPr>
      <w:r>
        <w:t xml:space="preserve"> </w:t>
      </w:r>
    </w:p>
    <w:p w:rsidR="00C25E94" w:rsidRDefault="00AA21AD">
      <w:pPr>
        <w:ind w:left="722" w:right="43"/>
      </w:pPr>
      <w:r>
        <w:t xml:space="preserve">Date: March 16, 2018 </w:t>
      </w:r>
    </w:p>
    <w:p w:rsidR="00C25E94" w:rsidRDefault="00AA21AD">
      <w:pPr>
        <w:ind w:left="722" w:right="43"/>
      </w:pPr>
      <w:r>
        <w:t xml:space="preserve">From: Rob Hummock </w:t>
      </w:r>
    </w:p>
    <w:p w:rsidR="00C25E94" w:rsidRDefault="00AA21AD">
      <w:pPr>
        <w:ind w:left="722" w:right="43"/>
      </w:pPr>
      <w:r>
        <w:t xml:space="preserve">Re: Owl, Inc., AMT/ESOP Request </w:t>
      </w:r>
    </w:p>
    <w:p w:rsidR="00C25E94" w:rsidRDefault="00AA21AD">
      <w:pPr>
        <w:spacing w:after="0" w:line="259" w:lineRule="auto"/>
        <w:ind w:left="720" w:right="0" w:firstLine="0"/>
        <w:jc w:val="left"/>
      </w:pPr>
      <w:r>
        <w:t xml:space="preserve"> </w:t>
      </w:r>
    </w:p>
    <w:p w:rsidR="00C25E94" w:rsidRDefault="00AA21AD">
      <w:pPr>
        <w:ind w:left="722" w:right="43"/>
      </w:pPr>
      <w:r>
        <w:t>The IRS will argue that the § 404(k) dividend is includible in the ACE calculation. This position was taken by the IRS in a Tax Court decision [</w:t>
      </w:r>
      <w:r>
        <w:rPr>
          <w:i/>
        </w:rPr>
        <w:t>Snap-Drape, Inc</w:t>
      </w:r>
      <w:r>
        <w:t xml:space="preserve">., 105 T.C. 16 (1995)]. </w:t>
      </w:r>
    </w:p>
    <w:p w:rsidR="00C25E94" w:rsidRDefault="00AA21AD">
      <w:pPr>
        <w:spacing w:after="0" w:line="259" w:lineRule="auto"/>
        <w:ind w:left="720" w:right="0" w:firstLine="0"/>
        <w:jc w:val="left"/>
      </w:pPr>
      <w:r>
        <w:t xml:space="preserve"> </w:t>
      </w:r>
    </w:p>
    <w:p w:rsidR="00C25E94" w:rsidRDefault="00AA21AD">
      <w:pPr>
        <w:ind w:left="722" w:right="43"/>
      </w:pPr>
      <w:r>
        <w:t>The taxpayer argued that Treasury Reg. § 1.56(g)(1)(d)(3)(iii)(E), is an improper interpretation of § 56(g)(4)(C)(i), and, alternatively, that if the regulation is held valid, that the IRS abused its discretion in providing for retroactive application of t</w:t>
      </w:r>
      <w:r>
        <w:t xml:space="preserve">he Regulation.  </w:t>
      </w:r>
    </w:p>
    <w:p w:rsidR="00C25E94" w:rsidRDefault="00AA21AD">
      <w:pPr>
        <w:spacing w:after="0" w:line="259" w:lineRule="auto"/>
        <w:ind w:left="720" w:right="0" w:firstLine="0"/>
        <w:jc w:val="left"/>
      </w:pPr>
      <w:r>
        <w:lastRenderedPageBreak/>
        <w:t xml:space="preserve"> </w:t>
      </w:r>
    </w:p>
    <w:p w:rsidR="00C25E94" w:rsidRDefault="00AA21AD">
      <w:pPr>
        <w:ind w:left="722" w:right="43"/>
      </w:pPr>
      <w:r>
        <w:t xml:space="preserve">The Tax Court upheld the IRS, noting that the regulations in question are legislative, and thus entitled to an elevated degree of deference. </w:t>
      </w:r>
    </w:p>
    <w:p w:rsidR="00C25E94" w:rsidRDefault="00AA21AD">
      <w:pPr>
        <w:spacing w:after="0" w:line="259" w:lineRule="auto"/>
        <w:ind w:left="720" w:right="0" w:firstLine="0"/>
        <w:jc w:val="left"/>
      </w:pPr>
      <w:r>
        <w:t xml:space="preserve"> </w:t>
      </w:r>
    </w:p>
    <w:p w:rsidR="00C25E94" w:rsidRDefault="00AA21AD">
      <w:pPr>
        <w:ind w:left="722" w:right="43"/>
      </w:pPr>
      <w:r>
        <w:t>The Tax Court agreed with the IRS that “section 404(k) dividends are essentially equivalent t</w:t>
      </w:r>
      <w:r>
        <w:t>o regular dividends,” and pointed out that generally, a corporation may not claim deductions for cash dividends. The court rejected Snap-Drape’s assertion that § 404(k) dividends are a form of compensation in that the statute exists under the deferred comp</w:t>
      </w:r>
      <w:r>
        <w:t xml:space="preserve">ensation provisions, and the benefit is ultimately received by employees. </w:t>
      </w:r>
    </w:p>
    <w:p w:rsidR="00C25E94" w:rsidRDefault="00AA21AD">
      <w:pPr>
        <w:spacing w:after="0" w:line="259" w:lineRule="auto"/>
        <w:ind w:left="720" w:right="0" w:firstLine="0"/>
        <w:jc w:val="left"/>
      </w:pPr>
      <w:r>
        <w:t xml:space="preserve"> </w:t>
      </w:r>
    </w:p>
    <w:p w:rsidR="00C25E94" w:rsidRDefault="00AA21AD">
      <w:pPr>
        <w:ind w:left="722" w:right="43"/>
      </w:pPr>
      <w:r>
        <w:t>The court stated that, in allowing corporations a deduction when their ESOPs use cash dividends to service debt incurred to acquire employer securities, Congress aimed at providin</w:t>
      </w:r>
      <w:r>
        <w:t xml:space="preserve">g an incentive for corporations to establish ESOPs. However, the court asserted that Congress created the AMT regime “to ensure that each corporate taxpayer was in fact paying a fair share of tax.”   </w:t>
      </w:r>
    </w:p>
    <w:p w:rsidR="00C25E94" w:rsidRDefault="00AA21AD">
      <w:pPr>
        <w:spacing w:after="0" w:line="259" w:lineRule="auto"/>
        <w:ind w:left="720" w:right="0" w:firstLine="0"/>
        <w:jc w:val="left"/>
      </w:pPr>
      <w:r>
        <w:t xml:space="preserve"> </w:t>
      </w:r>
    </w:p>
    <w:p w:rsidR="00C25E94" w:rsidRDefault="00AA21AD">
      <w:pPr>
        <w:ind w:left="722" w:right="43"/>
      </w:pPr>
      <w:r>
        <w:t>The IRS’s position, the court held, furthers both con</w:t>
      </w:r>
      <w:r>
        <w:t>gressional aims, whereas Snap-Drape’s position would further only the first. The court also rejected Snap-Drape’s contention that “the regulation nullifies the benefit provided by section 404(k),” reasoning that Snap-Drape “may be entitled to claim a credi</w:t>
      </w:r>
      <w:r>
        <w:t xml:space="preserve">t against regular tax in a subsequent year for the amount of AMT paid in the current year.” </w:t>
      </w:r>
    </w:p>
    <w:p w:rsidR="00C25E94" w:rsidRDefault="00AA21AD">
      <w:pPr>
        <w:spacing w:after="0" w:line="259" w:lineRule="auto"/>
        <w:ind w:left="720" w:right="0" w:firstLine="0"/>
        <w:jc w:val="left"/>
      </w:pPr>
      <w:r>
        <w:t xml:space="preserve"> </w:t>
      </w:r>
    </w:p>
    <w:p w:rsidR="00C25E94" w:rsidRDefault="00AA21AD">
      <w:pPr>
        <w:ind w:left="722" w:right="43"/>
      </w:pPr>
      <w:r>
        <w:t>With respect to retroactive application of Regulations, the Tax Court rejected Snap-Drape’s assertions that it justifiably relied on settled law that was altered</w:t>
      </w:r>
      <w:r>
        <w:t xml:space="preserve"> by the Regulations and that the Regulations impose a harsh result. </w:t>
      </w:r>
    </w:p>
    <w:p w:rsidR="00C25E94" w:rsidRDefault="00AA21AD">
      <w:pPr>
        <w:spacing w:after="0" w:line="259" w:lineRule="auto"/>
        <w:ind w:left="0" w:right="0" w:firstLine="0"/>
        <w:jc w:val="left"/>
      </w:pPr>
      <w:r>
        <w:rPr>
          <w:b/>
        </w:rPr>
        <w:t xml:space="preserve"> </w:t>
      </w:r>
    </w:p>
    <w:p w:rsidR="00C25E94" w:rsidRDefault="00AA21AD">
      <w:pPr>
        <w:ind w:left="705" w:right="43" w:hanging="720"/>
      </w:pPr>
      <w:r>
        <w:t xml:space="preserve">  3. An excellent discussion of this area can be found in R.A. Swiech and J.T. Bradford, “The AMT Depletion Preference and the Tax Court: The Decline of Mineral Taxation Erudition,” </w:t>
      </w:r>
      <w:r>
        <w:rPr>
          <w:i/>
        </w:rPr>
        <w:t>Jou</w:t>
      </w:r>
      <w:r>
        <w:rPr>
          <w:i/>
        </w:rPr>
        <w:t>rnal of Taxation</w:t>
      </w:r>
      <w:r>
        <w:t xml:space="preserve">, December 2008, pp. 358–364. </w:t>
      </w:r>
    </w:p>
    <w:p w:rsidR="00C25E94" w:rsidRDefault="00AA21AD">
      <w:pPr>
        <w:spacing w:after="0" w:line="259" w:lineRule="auto"/>
        <w:ind w:left="0" w:right="0" w:firstLine="0"/>
        <w:jc w:val="left"/>
      </w:pPr>
      <w:r>
        <w:t xml:space="preserve"> </w:t>
      </w:r>
    </w:p>
    <w:p w:rsidR="00C25E94" w:rsidRDefault="00AA21AD">
      <w:pPr>
        <w:ind w:left="722" w:right="43"/>
      </w:pPr>
      <w:r>
        <w:t xml:space="preserve">In </w:t>
      </w:r>
      <w:r>
        <w:rPr>
          <w:i/>
        </w:rPr>
        <w:t>Santa Fe Pacific Gold Co. and Subsidiaries ex. rel. Newmont USA</w:t>
      </w:r>
      <w:r>
        <w:t xml:space="preserve"> </w:t>
      </w:r>
      <w:r>
        <w:rPr>
          <w:i/>
        </w:rPr>
        <w:t>Ltd.,</w:t>
      </w:r>
      <w:r>
        <w:t xml:space="preserve"> 130 T.C. 299 (2008), the IRS conceded beforehand and the court held that unamortized § 56(a)(2) costs [unamortized development and exp</w:t>
      </w:r>
      <w:r>
        <w:t>loration costs] are added to the adjusted basis of the mineral property when calculating the § 57(a)(1) preference for percentage depletion in excess of adjusted basis. However, the Tax Court spent a great amount of didacticisms attempting to show that the</w:t>
      </w:r>
      <w:r>
        <w:t xml:space="preserve"> IRS should not have conceded this issue. </w:t>
      </w:r>
    </w:p>
    <w:p w:rsidR="00C25E94" w:rsidRDefault="00AA21AD">
      <w:pPr>
        <w:spacing w:after="0" w:line="259" w:lineRule="auto"/>
        <w:ind w:left="720" w:right="0" w:firstLine="0"/>
        <w:jc w:val="left"/>
      </w:pPr>
      <w:r>
        <w:t xml:space="preserve"> </w:t>
      </w:r>
    </w:p>
    <w:p w:rsidR="00C25E94" w:rsidRDefault="00AA21AD">
      <w:pPr>
        <w:ind w:left="722" w:right="43"/>
      </w:pPr>
      <w:r>
        <w:t xml:space="preserve">Thus, § 614 property is not limited to the amounts directly paid to acquire the minerals (i.e., not limited to direct costs). </w:t>
      </w:r>
    </w:p>
    <w:p w:rsidR="00C25E94" w:rsidRDefault="00AA21AD">
      <w:pPr>
        <w:spacing w:after="0" w:line="259" w:lineRule="auto"/>
        <w:ind w:left="720" w:right="0" w:firstLine="0"/>
        <w:jc w:val="left"/>
      </w:pPr>
      <w:r>
        <w:t xml:space="preserve"> </w:t>
      </w:r>
    </w:p>
    <w:p w:rsidR="00C25E94" w:rsidRDefault="00AA21AD">
      <w:pPr>
        <w:ind w:left="722" w:right="43"/>
      </w:pPr>
      <w:r>
        <w:t xml:space="preserve">Further, the U.S. Tax Court held that the basis for this preference calculation is the property’s AMT basis and not its regular income tax basis. At least the IRS recognizes the separate and parallel nature of the AMT. </w:t>
      </w:r>
    </w:p>
    <w:p w:rsidR="00C25E94" w:rsidRDefault="00AA21AD">
      <w:pPr>
        <w:spacing w:after="0" w:line="259" w:lineRule="auto"/>
        <w:ind w:left="0" w:right="0" w:firstLine="0"/>
        <w:jc w:val="left"/>
      </w:pPr>
      <w:r>
        <w:t xml:space="preserve"> </w:t>
      </w:r>
    </w:p>
    <w:p w:rsidR="00C25E94" w:rsidRDefault="00AA21AD">
      <w:pPr>
        <w:pStyle w:val="Heading1"/>
        <w:ind w:left="-5"/>
      </w:pPr>
      <w:r>
        <w:t xml:space="preserve">Research Problems 4 and 5 </w:t>
      </w:r>
    </w:p>
    <w:p w:rsidR="00C25E94" w:rsidRDefault="00AA21AD">
      <w:pPr>
        <w:spacing w:after="0" w:line="259" w:lineRule="auto"/>
        <w:ind w:left="0" w:right="0" w:firstLine="0"/>
        <w:jc w:val="left"/>
      </w:pPr>
      <w:r>
        <w:t xml:space="preserve"> </w:t>
      </w:r>
    </w:p>
    <w:p w:rsidR="00C25E94" w:rsidRDefault="00AA21AD">
      <w:pPr>
        <w:spacing w:after="0" w:line="259" w:lineRule="auto"/>
        <w:ind w:left="10" w:right="41" w:hanging="10"/>
      </w:pPr>
      <w:r>
        <w:rPr>
          <w:i/>
        </w:rPr>
        <w:t>These</w:t>
      </w:r>
      <w:r>
        <w:rPr>
          <w:i/>
        </w:rPr>
        <w:t xml:space="preserve"> research problems require that students utilize online resources to research and answer the questions. As a result, solutions may vary among students and courses. You should determine the skill and experience levels of the students before assigning these </w:t>
      </w:r>
      <w:r>
        <w:rPr>
          <w:i/>
        </w:rPr>
        <w:t xml:space="preserve">problems, coaching where necessary. Encourage students to use </w:t>
      </w:r>
      <w:r>
        <w:rPr>
          <w:i/>
        </w:rPr>
        <w:lastRenderedPageBreak/>
        <w:t xml:space="preserve">reliable websites and blogs of the IRS and other government agencies, media outlets, businesses, tax professionals, academics, think tanks, and political outlets to research their answers. </w:t>
      </w:r>
    </w:p>
    <w:p w:rsidR="00C25E94" w:rsidRDefault="00AA21AD">
      <w:pPr>
        <w:spacing w:after="0" w:line="259" w:lineRule="auto"/>
        <w:ind w:left="0" w:right="0" w:firstLine="0"/>
        <w:jc w:val="left"/>
      </w:pPr>
      <w:r>
        <w:t xml:space="preserve"> </w:t>
      </w:r>
    </w:p>
    <w:p w:rsidR="00C25E94" w:rsidRDefault="00AA21AD">
      <w:pPr>
        <w:pStyle w:val="Heading1"/>
        <w:ind w:left="-5"/>
      </w:pPr>
      <w:r>
        <w:t>CH</w:t>
      </w:r>
      <w:r>
        <w:t xml:space="preserve">ECK FIGURES </w:t>
      </w:r>
    </w:p>
    <w:p w:rsidR="00C25E94" w:rsidRDefault="00C25E94">
      <w:pPr>
        <w:sectPr w:rsidR="00C25E94">
          <w:headerReference w:type="even" r:id="rId119"/>
          <w:headerReference w:type="default" r:id="rId120"/>
          <w:footerReference w:type="even" r:id="rId121"/>
          <w:footerReference w:type="default" r:id="rId122"/>
          <w:headerReference w:type="first" r:id="rId123"/>
          <w:footerReference w:type="first" r:id="rId124"/>
          <w:pgSz w:w="12240" w:h="15840"/>
          <w:pgMar w:top="1479" w:right="1795" w:bottom="1409" w:left="720" w:header="773" w:footer="724" w:gutter="0"/>
          <w:pgNumType w:start="2"/>
          <w:cols w:space="720"/>
        </w:sectPr>
      </w:pPr>
    </w:p>
    <w:p w:rsidR="00C25E94" w:rsidRDefault="00AA21AD">
      <w:pPr>
        <w:spacing w:after="0" w:line="259" w:lineRule="auto"/>
        <w:ind w:left="0" w:right="0" w:firstLine="0"/>
        <w:jc w:val="left"/>
      </w:pPr>
      <w:r>
        <w:t xml:space="preserve"> </w:t>
      </w:r>
    </w:p>
    <w:p w:rsidR="00C25E94" w:rsidRDefault="00AA21AD">
      <w:pPr>
        <w:numPr>
          <w:ilvl w:val="0"/>
          <w:numId w:val="19"/>
        </w:numPr>
        <w:ind w:right="43" w:hanging="720"/>
      </w:pPr>
      <w:r>
        <w:t xml:space="preserve">Taxable income: $95,000; DPAD: $8,550. </w:t>
      </w:r>
    </w:p>
    <w:p w:rsidR="00C25E94" w:rsidRDefault="00AA21AD">
      <w:pPr>
        <w:numPr>
          <w:ilvl w:val="0"/>
          <w:numId w:val="19"/>
        </w:numPr>
        <w:ind w:right="43" w:hanging="720"/>
      </w:pPr>
      <w:r>
        <w:t xml:space="preserve">$82,500. </w:t>
      </w:r>
    </w:p>
    <w:p w:rsidR="00C25E94" w:rsidRDefault="00AA21AD">
      <w:pPr>
        <w:numPr>
          <w:ilvl w:val="0"/>
          <w:numId w:val="19"/>
        </w:numPr>
        <w:ind w:right="43" w:hanging="720"/>
      </w:pPr>
      <w:r>
        <w:t xml:space="preserve">$3,800,000. </w:t>
      </w:r>
    </w:p>
    <w:p w:rsidR="00C25E94" w:rsidRDefault="00AA21AD">
      <w:pPr>
        <w:numPr>
          <w:ilvl w:val="0"/>
          <w:numId w:val="19"/>
        </w:numPr>
        <w:ind w:right="43" w:hanging="720"/>
      </w:pPr>
      <w:r>
        <w:t xml:space="preserve">DPGR: $65; QPAI: $27. </w:t>
      </w:r>
    </w:p>
    <w:p w:rsidR="00C25E94" w:rsidRDefault="00AA21AD">
      <w:pPr>
        <w:numPr>
          <w:ilvl w:val="1"/>
          <w:numId w:val="20"/>
        </w:numPr>
        <w:ind w:right="43" w:hanging="721"/>
      </w:pPr>
      <w:r>
        <w:t>CGS: $600,000</w:t>
      </w:r>
      <w:r>
        <w:t xml:space="preserve">; expenses: $288,000. </w:t>
      </w:r>
    </w:p>
    <w:p w:rsidR="00C25E94" w:rsidRDefault="00AA21AD">
      <w:pPr>
        <w:numPr>
          <w:ilvl w:val="1"/>
          <w:numId w:val="20"/>
        </w:numPr>
        <w:ind w:right="43" w:hanging="721"/>
      </w:pPr>
      <w:r>
        <w:t xml:space="preserve">QPAI: $1,272,000; DPAD: $114,480. </w:t>
      </w:r>
    </w:p>
    <w:p w:rsidR="00C25E94" w:rsidRDefault="00AA21AD">
      <w:pPr>
        <w:numPr>
          <w:ilvl w:val="0"/>
          <w:numId w:val="21"/>
        </w:numPr>
        <w:ind w:right="43" w:hanging="720"/>
      </w:pPr>
      <w:r>
        <w:t xml:space="preserve">AMT adjustments: Year 1 $20,000; Years 2 and 3 ($10,000). </w:t>
      </w:r>
    </w:p>
    <w:p w:rsidR="00C25E94" w:rsidRDefault="00AA21AD">
      <w:pPr>
        <w:numPr>
          <w:ilvl w:val="0"/>
          <w:numId w:val="21"/>
        </w:numPr>
        <w:ind w:right="43" w:hanging="720"/>
      </w:pPr>
      <w:r>
        <w:t xml:space="preserve">2017 AMT adjustment: $720,000. </w:t>
      </w:r>
    </w:p>
    <w:p w:rsidR="00C25E94" w:rsidRDefault="00AA21AD">
      <w:pPr>
        <w:numPr>
          <w:ilvl w:val="0"/>
          <w:numId w:val="21"/>
        </w:numPr>
        <w:ind w:right="43" w:hanging="720"/>
      </w:pPr>
      <w:r>
        <w:t xml:space="preserve">$2,740 negative adjustment. </w:t>
      </w:r>
    </w:p>
    <w:p w:rsidR="00C25E94" w:rsidRDefault="00AA21AD">
      <w:pPr>
        <w:numPr>
          <w:ilvl w:val="0"/>
          <w:numId w:val="21"/>
        </w:numPr>
        <w:ind w:right="43" w:hanging="720"/>
      </w:pPr>
      <w:r>
        <w:t xml:space="preserve">$22,500 exemption. </w:t>
      </w:r>
    </w:p>
    <w:p w:rsidR="00C25E94" w:rsidRDefault="00AA21AD">
      <w:pPr>
        <w:numPr>
          <w:ilvl w:val="0"/>
          <w:numId w:val="21"/>
        </w:numPr>
        <w:spacing w:after="0" w:line="229" w:lineRule="auto"/>
        <w:ind w:right="43" w:hanging="720"/>
      </w:pPr>
      <w:r>
        <w:t>2017: $417 increase; 2018: $347 increase; 2019: $510 decre</w:t>
      </w:r>
      <w:r>
        <w:t xml:space="preserve">ase; 2020: $254 decrease. </w:t>
      </w:r>
    </w:p>
    <w:p w:rsidR="00C25E94" w:rsidRDefault="00AA21AD">
      <w:pPr>
        <w:numPr>
          <w:ilvl w:val="0"/>
          <w:numId w:val="21"/>
        </w:numPr>
        <w:ind w:right="43" w:hanging="720"/>
      </w:pPr>
      <w:r>
        <w:t xml:space="preserve">2017: $300,000 positive; 2018: no adjustment; 2019: $300,000 negative. </w:t>
      </w:r>
    </w:p>
    <w:p w:rsidR="00C25E94" w:rsidRDefault="00AA21AD">
      <w:pPr>
        <w:numPr>
          <w:ilvl w:val="0"/>
          <w:numId w:val="21"/>
        </w:numPr>
        <w:ind w:right="43" w:hanging="720"/>
      </w:pPr>
      <w:r>
        <w:t xml:space="preserve">Accumulated earnings credit: $700,000; ATI: $145,000. </w:t>
      </w:r>
    </w:p>
    <w:p w:rsidR="00C25E94" w:rsidRDefault="00AA21AD">
      <w:pPr>
        <w:numPr>
          <w:ilvl w:val="0"/>
          <w:numId w:val="21"/>
        </w:numPr>
        <w:ind w:right="43" w:hanging="720"/>
      </w:pPr>
      <w:r>
        <w:t xml:space="preserve">$11,600. </w:t>
      </w:r>
    </w:p>
    <w:p w:rsidR="00C25E94" w:rsidRDefault="00AA21AD">
      <w:pPr>
        <w:numPr>
          <w:ilvl w:val="0"/>
          <w:numId w:val="21"/>
        </w:numPr>
        <w:ind w:right="43" w:hanging="720"/>
      </w:pPr>
      <w:r>
        <w:t xml:space="preserve">2017, 2018: $346,500. </w:t>
      </w:r>
    </w:p>
    <w:p w:rsidR="00C25E94" w:rsidRDefault="00AA21AD">
      <w:pPr>
        <w:ind w:left="-13" w:right="3017"/>
      </w:pPr>
      <w:r>
        <w:t xml:space="preserve">38.a. $54,000. 38.b. $10,000. 38.c. $72,000. 38.d. $63,000. 38.e. $30,000. </w:t>
      </w:r>
    </w:p>
    <w:p w:rsidR="00C25E94" w:rsidRDefault="00AA21AD">
      <w:pPr>
        <w:ind w:left="-13" w:right="2247"/>
      </w:pPr>
      <w:r>
        <w:t xml:space="preserve">39.a. $8,200,000. 39.b. $8,600,000. </w:t>
      </w:r>
    </w:p>
    <w:p w:rsidR="00C25E94" w:rsidRDefault="00AA21AD">
      <w:pPr>
        <w:ind w:left="-13" w:right="3127"/>
      </w:pPr>
      <w:r>
        <w:t xml:space="preserve">40.a. $3,000. 40.b. $3,000. 40.c. $3,000. 40.d. $3,300. </w:t>
      </w:r>
    </w:p>
    <w:p w:rsidR="00C25E94" w:rsidRDefault="00AA21AD">
      <w:pPr>
        <w:numPr>
          <w:ilvl w:val="1"/>
          <w:numId w:val="22"/>
        </w:numPr>
        <w:ind w:right="43" w:hanging="721"/>
      </w:pPr>
      <w:r>
        <w:t xml:space="preserve">$2,600,000. </w:t>
      </w:r>
    </w:p>
    <w:p w:rsidR="00C25E94" w:rsidRDefault="00AA21AD">
      <w:pPr>
        <w:numPr>
          <w:ilvl w:val="1"/>
          <w:numId w:val="22"/>
        </w:numPr>
        <w:ind w:right="43" w:hanging="721"/>
      </w:pPr>
      <w:r>
        <w:t xml:space="preserve">$880,952. </w:t>
      </w:r>
    </w:p>
    <w:p w:rsidR="00C25E94" w:rsidRDefault="00AA21AD">
      <w:pPr>
        <w:numPr>
          <w:ilvl w:val="1"/>
          <w:numId w:val="22"/>
        </w:numPr>
        <w:ind w:right="43" w:hanging="721"/>
      </w:pPr>
      <w:r>
        <w:t xml:space="preserve">$79,286. </w:t>
      </w:r>
    </w:p>
    <w:p w:rsidR="00C25E94" w:rsidRDefault="00AA21AD">
      <w:pPr>
        <w:numPr>
          <w:ilvl w:val="1"/>
          <w:numId w:val="23"/>
        </w:numPr>
        <w:ind w:right="43" w:hanging="720"/>
      </w:pPr>
      <w:r>
        <w:t xml:space="preserve">$773,809. </w:t>
      </w:r>
    </w:p>
    <w:p w:rsidR="00C25E94" w:rsidRDefault="00AA21AD">
      <w:pPr>
        <w:numPr>
          <w:ilvl w:val="1"/>
          <w:numId w:val="23"/>
        </w:numPr>
        <w:ind w:right="43" w:hanging="720"/>
      </w:pPr>
      <w:r>
        <w:t xml:space="preserve">$69,643. </w:t>
      </w:r>
    </w:p>
    <w:p w:rsidR="00C25E94" w:rsidRDefault="00AA21AD">
      <w:pPr>
        <w:ind w:left="-13" w:right="2247"/>
      </w:pPr>
      <w:r>
        <w:t>43.a. $2,000,000. 43.b. $2,630,</w:t>
      </w:r>
      <w:r>
        <w:t xml:space="preserve">000. </w:t>
      </w:r>
    </w:p>
    <w:p w:rsidR="00C25E94" w:rsidRDefault="00AA21AD">
      <w:pPr>
        <w:numPr>
          <w:ilvl w:val="1"/>
          <w:numId w:val="24"/>
        </w:numPr>
        <w:ind w:right="43" w:hanging="720"/>
      </w:pPr>
      <w:r>
        <w:t xml:space="preserve">Purple, $1,200; Scarlet, none. </w:t>
      </w:r>
    </w:p>
    <w:p w:rsidR="00C25E94" w:rsidRDefault="00AA21AD">
      <w:pPr>
        <w:numPr>
          <w:ilvl w:val="1"/>
          <w:numId w:val="24"/>
        </w:numPr>
        <w:ind w:right="43" w:hanging="720"/>
      </w:pPr>
      <w:r>
        <w:t xml:space="preserve">Purple, $400; Scarlet, none. </w:t>
      </w:r>
    </w:p>
    <w:p w:rsidR="00C25E94" w:rsidRDefault="00AA21AD">
      <w:pPr>
        <w:spacing w:after="0" w:line="259" w:lineRule="auto"/>
        <w:ind w:left="0" w:right="0" w:firstLine="0"/>
        <w:jc w:val="left"/>
      </w:pPr>
      <w:r>
        <w:t xml:space="preserve"> </w:t>
      </w:r>
    </w:p>
    <w:p w:rsidR="00C25E94" w:rsidRDefault="00AA21AD">
      <w:pPr>
        <w:spacing w:after="0" w:line="259" w:lineRule="auto"/>
        <w:ind w:left="0" w:right="0" w:firstLine="0"/>
        <w:jc w:val="left"/>
      </w:pPr>
      <w:r>
        <w:t xml:space="preserve"> </w:t>
      </w:r>
    </w:p>
    <w:p w:rsidR="00C25E94" w:rsidRDefault="00AA21AD">
      <w:pPr>
        <w:spacing w:after="0" w:line="259" w:lineRule="auto"/>
        <w:ind w:left="0" w:right="0" w:firstLine="0"/>
        <w:jc w:val="left"/>
      </w:pPr>
      <w:r>
        <w:t xml:space="preserve"> </w:t>
      </w:r>
    </w:p>
    <w:p w:rsidR="00C25E94" w:rsidRDefault="00AA21AD">
      <w:pPr>
        <w:spacing w:after="0" w:line="259" w:lineRule="auto"/>
        <w:ind w:left="0" w:right="0" w:firstLine="0"/>
        <w:jc w:val="left"/>
      </w:pPr>
      <w:r>
        <w:t xml:space="preserve"> </w:t>
      </w:r>
    </w:p>
    <w:p w:rsidR="00C25E94" w:rsidRDefault="00AA21AD">
      <w:pPr>
        <w:spacing w:after="0" w:line="259" w:lineRule="auto"/>
        <w:ind w:left="0" w:right="0" w:firstLine="0"/>
        <w:jc w:val="left"/>
      </w:pPr>
      <w:r>
        <w:t xml:space="preserve"> </w:t>
      </w:r>
    </w:p>
    <w:p w:rsidR="00C25E94" w:rsidRDefault="00AA21AD">
      <w:pPr>
        <w:spacing w:after="0" w:line="259" w:lineRule="auto"/>
        <w:ind w:left="0" w:right="0" w:firstLine="0"/>
        <w:jc w:val="left"/>
      </w:pPr>
      <w:r>
        <w:t xml:space="preserve"> </w:t>
      </w:r>
    </w:p>
    <w:p w:rsidR="00C25E94" w:rsidRDefault="00AA21AD">
      <w:pPr>
        <w:spacing w:after="0" w:line="259" w:lineRule="auto"/>
        <w:ind w:left="0" w:right="0" w:firstLine="0"/>
        <w:jc w:val="left"/>
      </w:pPr>
      <w:r>
        <w:t xml:space="preserve"> </w:t>
      </w:r>
    </w:p>
    <w:p w:rsidR="00C25E94" w:rsidRDefault="00AA21AD">
      <w:pPr>
        <w:spacing w:after="0" w:line="259" w:lineRule="auto"/>
        <w:ind w:left="0" w:right="0" w:firstLine="0"/>
        <w:jc w:val="left"/>
      </w:pPr>
      <w:r>
        <w:t xml:space="preserve"> </w:t>
      </w:r>
    </w:p>
    <w:p w:rsidR="00C25E94" w:rsidRDefault="00AA21AD">
      <w:pPr>
        <w:spacing w:after="0" w:line="259" w:lineRule="auto"/>
        <w:ind w:left="0" w:right="0" w:firstLine="0"/>
        <w:jc w:val="left"/>
      </w:pPr>
      <w:r>
        <w:t xml:space="preserve"> </w:t>
      </w:r>
    </w:p>
    <w:p w:rsidR="00C25E94" w:rsidRDefault="00AA21AD">
      <w:pPr>
        <w:spacing w:after="0" w:line="259" w:lineRule="auto"/>
        <w:ind w:left="0" w:right="0" w:firstLine="0"/>
        <w:jc w:val="left"/>
      </w:pPr>
      <w:r>
        <w:t xml:space="preserve"> </w:t>
      </w:r>
    </w:p>
    <w:p w:rsidR="00C25E94" w:rsidRDefault="00AA21AD">
      <w:pPr>
        <w:spacing w:after="0" w:line="259" w:lineRule="auto"/>
        <w:ind w:left="0" w:right="0" w:firstLine="0"/>
        <w:jc w:val="left"/>
      </w:pPr>
      <w:r>
        <w:t xml:space="preserve"> </w:t>
      </w:r>
    </w:p>
    <w:p w:rsidR="00C25E94" w:rsidRDefault="00AA21AD">
      <w:pPr>
        <w:numPr>
          <w:ilvl w:val="1"/>
          <w:numId w:val="24"/>
        </w:numPr>
        <w:ind w:right="43" w:hanging="720"/>
      </w:pPr>
      <w:r>
        <w:t xml:space="preserve">Purple, $36; Scarlet, none. </w:t>
      </w:r>
    </w:p>
    <w:p w:rsidR="00C25E94" w:rsidRDefault="00AA21AD">
      <w:pPr>
        <w:numPr>
          <w:ilvl w:val="0"/>
          <w:numId w:val="25"/>
        </w:numPr>
        <w:ind w:right="43" w:hanging="720"/>
      </w:pPr>
      <w:r>
        <w:t xml:space="preserve">All years 2013–2018. </w:t>
      </w:r>
    </w:p>
    <w:p w:rsidR="00C25E94" w:rsidRDefault="00AA21AD">
      <w:pPr>
        <w:numPr>
          <w:ilvl w:val="0"/>
          <w:numId w:val="25"/>
        </w:numPr>
        <w:ind w:right="43" w:hanging="720"/>
      </w:pPr>
      <w:r>
        <w:t xml:space="preserve">Tentative minimum tax: $1,162,404; AMT: $0. </w:t>
      </w:r>
    </w:p>
    <w:p w:rsidR="00C25E94" w:rsidRDefault="00AA21AD">
      <w:pPr>
        <w:numPr>
          <w:ilvl w:val="0"/>
          <w:numId w:val="25"/>
        </w:numPr>
        <w:ind w:right="43" w:hanging="720"/>
      </w:pPr>
      <w:r>
        <w:t xml:space="preserve">Minimum tax credit carryover:  $105,091. </w:t>
      </w:r>
    </w:p>
    <w:p w:rsidR="00C25E94" w:rsidRDefault="00AA21AD">
      <w:pPr>
        <w:numPr>
          <w:ilvl w:val="0"/>
          <w:numId w:val="25"/>
        </w:numPr>
        <w:ind w:right="43" w:hanging="720"/>
      </w:pPr>
      <w:r>
        <w:t xml:space="preserve">AMT adjustments: 2017: $10,000; 2019: $2,700; 2021: ($10,280). </w:t>
      </w:r>
    </w:p>
    <w:p w:rsidR="00C25E94" w:rsidRDefault="00AA21AD">
      <w:pPr>
        <w:numPr>
          <w:ilvl w:val="0"/>
          <w:numId w:val="25"/>
        </w:numPr>
        <w:ind w:right="43" w:hanging="720"/>
      </w:pPr>
      <w:r>
        <w:t xml:space="preserve">AMT preference:  $123,207. </w:t>
      </w:r>
    </w:p>
    <w:p w:rsidR="00C25E94" w:rsidRDefault="00AA21AD">
      <w:pPr>
        <w:numPr>
          <w:ilvl w:val="0"/>
          <w:numId w:val="25"/>
        </w:numPr>
        <w:ind w:right="43" w:hanging="720"/>
      </w:pPr>
      <w:r>
        <w:t xml:space="preserve">Tentative minimum tax: $1,562,345; AMT </w:t>
      </w:r>
    </w:p>
    <w:p w:rsidR="00C25E94" w:rsidRDefault="00AA21AD">
      <w:pPr>
        <w:ind w:left="722" w:right="43"/>
      </w:pPr>
      <w:r>
        <w:t xml:space="preserve">$0. </w:t>
      </w:r>
    </w:p>
    <w:p w:rsidR="00C25E94" w:rsidRDefault="00AA21AD">
      <w:pPr>
        <w:numPr>
          <w:ilvl w:val="0"/>
          <w:numId w:val="25"/>
        </w:numPr>
        <w:spacing w:after="3" w:line="259" w:lineRule="auto"/>
        <w:ind w:right="43" w:hanging="720"/>
      </w:pPr>
      <w:r>
        <w:t xml:space="preserve">AMT adjustments: Year 1: $189,000; Year 4: ($12,000); Year 9: ($30,000). </w:t>
      </w:r>
    </w:p>
    <w:p w:rsidR="00C25E94" w:rsidRDefault="00AA21AD">
      <w:pPr>
        <w:numPr>
          <w:ilvl w:val="0"/>
          <w:numId w:val="25"/>
        </w:numPr>
        <w:ind w:right="43" w:hanging="720"/>
      </w:pPr>
      <w:r>
        <w:t>AMT adjustments: Year 1: $22,000; Years 2 and</w:t>
      </w:r>
      <w:r>
        <w:t xml:space="preserve"> 3: ($11,000). </w:t>
      </w:r>
    </w:p>
    <w:p w:rsidR="00C25E94" w:rsidRDefault="00AA21AD">
      <w:pPr>
        <w:numPr>
          <w:ilvl w:val="0"/>
          <w:numId w:val="25"/>
        </w:numPr>
        <w:ind w:right="43" w:hanging="720"/>
      </w:pPr>
      <w:r>
        <w:t xml:space="preserve">Minimum tax credit carryover: $16,250. 54 </w:t>
      </w:r>
      <w:r>
        <w:tab/>
        <w:t xml:space="preserve">AMT: $27,243. </w:t>
      </w:r>
    </w:p>
    <w:p w:rsidR="00C25E94" w:rsidRDefault="00AA21AD">
      <w:pPr>
        <w:ind w:left="-13" w:right="2785"/>
      </w:pPr>
      <w:r>
        <w:t xml:space="preserve">55.a. $6,210,000. 55.b. $6,210,000. 55.c. $1,242,000. </w:t>
      </w:r>
    </w:p>
    <w:p w:rsidR="00C25E94" w:rsidRDefault="00AA21AD">
      <w:pPr>
        <w:tabs>
          <w:tab w:val="center" w:pos="1106"/>
        </w:tabs>
        <w:ind w:left="-15" w:right="0" w:firstLine="0"/>
        <w:jc w:val="left"/>
      </w:pPr>
      <w:r>
        <w:t xml:space="preserve">55.d. </w:t>
      </w:r>
      <w:r>
        <w:tab/>
        <w:t xml:space="preserve">$18,000. </w:t>
      </w:r>
    </w:p>
    <w:p w:rsidR="00C25E94" w:rsidRDefault="00AA21AD">
      <w:pPr>
        <w:ind w:left="-13" w:right="2785"/>
      </w:pPr>
      <w:r>
        <w:t xml:space="preserve">56.a. $5,286,180. 56.b. $5,286,180. 56.c. $1,057,236. </w:t>
      </w:r>
    </w:p>
    <w:p w:rsidR="00C25E94" w:rsidRDefault="00AA21AD">
      <w:pPr>
        <w:tabs>
          <w:tab w:val="center" w:pos="858"/>
        </w:tabs>
        <w:ind w:left="-15" w:right="0" w:firstLine="0"/>
        <w:jc w:val="left"/>
      </w:pPr>
      <w:r>
        <w:t xml:space="preserve">56.d. </w:t>
      </w:r>
      <w:r>
        <w:tab/>
        <w:t xml:space="preserve">$0. </w:t>
      </w:r>
    </w:p>
    <w:p w:rsidR="00C25E94" w:rsidRDefault="00AA21AD">
      <w:pPr>
        <w:ind w:left="-13" w:right="2785"/>
      </w:pPr>
      <w:r>
        <w:t xml:space="preserve">57.a. $6,375,000. 57.b. $6,375,000. 57.c. $1,275,000. </w:t>
      </w:r>
    </w:p>
    <w:p w:rsidR="00C25E94" w:rsidRDefault="00AA21AD">
      <w:pPr>
        <w:tabs>
          <w:tab w:val="center" w:pos="858"/>
        </w:tabs>
        <w:ind w:left="-15" w:right="0" w:firstLine="0"/>
        <w:jc w:val="left"/>
      </w:pPr>
      <w:r>
        <w:t xml:space="preserve">57.d. </w:t>
      </w:r>
      <w:r>
        <w:tab/>
        <w:t xml:space="preserve">$0. </w:t>
      </w:r>
    </w:p>
    <w:p w:rsidR="00C25E94" w:rsidRDefault="00AA21AD">
      <w:pPr>
        <w:numPr>
          <w:ilvl w:val="0"/>
          <w:numId w:val="26"/>
        </w:numPr>
        <w:ind w:right="43" w:hanging="720"/>
      </w:pPr>
      <w:r>
        <w:t xml:space="preserve">2014, no adjustment; 2015, $22,500,000; 2016, ($7,500,000); 2017, ($15,000,000). </w:t>
      </w:r>
    </w:p>
    <w:p w:rsidR="00C25E94" w:rsidRDefault="00AA21AD">
      <w:pPr>
        <w:numPr>
          <w:ilvl w:val="0"/>
          <w:numId w:val="26"/>
        </w:numPr>
        <w:ind w:right="43" w:hanging="720"/>
      </w:pPr>
      <w:r>
        <w:t xml:space="preserve">$9,849,000. </w:t>
      </w:r>
    </w:p>
    <w:p w:rsidR="00C25E94" w:rsidRDefault="00AA21AD">
      <w:pPr>
        <w:numPr>
          <w:ilvl w:val="0"/>
          <w:numId w:val="26"/>
        </w:numPr>
        <w:ind w:right="43" w:hanging="720"/>
      </w:pPr>
      <w:r>
        <w:t xml:space="preserve">Brant, $19,000; Tern, $32,000; Snipe, $65,000. </w:t>
      </w:r>
    </w:p>
    <w:p w:rsidR="00C25E94" w:rsidRDefault="00AA21AD">
      <w:pPr>
        <w:numPr>
          <w:ilvl w:val="0"/>
          <w:numId w:val="26"/>
        </w:numPr>
        <w:ind w:right="43" w:hanging="720"/>
      </w:pPr>
      <w:r>
        <w:t xml:space="preserve">$7,098,482. </w:t>
      </w:r>
    </w:p>
    <w:p w:rsidR="00C25E94" w:rsidRDefault="00AA21AD">
      <w:pPr>
        <w:ind w:left="-13" w:right="2456"/>
      </w:pPr>
      <w:r>
        <w:lastRenderedPageBreak/>
        <w:t xml:space="preserve">62.a. $100,000. 62.b. $200,000. </w:t>
      </w:r>
    </w:p>
    <w:p w:rsidR="00C25E94" w:rsidRDefault="00AA21AD">
      <w:pPr>
        <w:numPr>
          <w:ilvl w:val="1"/>
          <w:numId w:val="27"/>
        </w:numPr>
        <w:ind w:right="43" w:hanging="720"/>
      </w:pPr>
      <w:r>
        <w:t xml:space="preserve">$0. </w:t>
      </w:r>
    </w:p>
    <w:p w:rsidR="00C25E94" w:rsidRDefault="00AA21AD">
      <w:pPr>
        <w:numPr>
          <w:ilvl w:val="1"/>
          <w:numId w:val="27"/>
        </w:numPr>
        <w:ind w:right="43" w:hanging="720"/>
      </w:pPr>
      <w:r>
        <w:t xml:space="preserve">$500,000. </w:t>
      </w:r>
    </w:p>
    <w:p w:rsidR="00C25E94" w:rsidRDefault="00AA21AD">
      <w:pPr>
        <w:tabs>
          <w:tab w:val="center" w:pos="2502"/>
        </w:tabs>
        <w:ind w:left="-15" w:right="0" w:firstLine="0"/>
        <w:jc w:val="left"/>
      </w:pPr>
      <w:r>
        <w:t xml:space="preserve">63. </w:t>
      </w:r>
      <w:r>
        <w:tab/>
        <w:t xml:space="preserve">PHC Tax: $66,024; Total tax: $243,504; </w:t>
      </w:r>
    </w:p>
    <w:p w:rsidR="00C25E94" w:rsidRDefault="00AA21AD">
      <w:pPr>
        <w:ind w:left="722" w:right="43"/>
      </w:pPr>
      <w:r>
        <w:t xml:space="preserve">46.6%. </w:t>
      </w:r>
    </w:p>
    <w:p w:rsidR="00C25E94" w:rsidRDefault="00AA21AD">
      <w:pPr>
        <w:spacing w:after="0" w:line="259" w:lineRule="auto"/>
        <w:ind w:left="0" w:right="0" w:firstLine="0"/>
        <w:jc w:val="left"/>
      </w:pPr>
      <w:r>
        <w:t xml:space="preserve"> </w:t>
      </w:r>
    </w:p>
    <w:p w:rsidR="00C25E94" w:rsidRDefault="00C25E94">
      <w:pPr>
        <w:sectPr w:rsidR="00C25E94">
          <w:type w:val="continuous"/>
          <w:pgSz w:w="12240" w:h="15840"/>
          <w:pgMar w:top="1440" w:right="724" w:bottom="1440" w:left="1800" w:header="720" w:footer="720" w:gutter="0"/>
          <w:cols w:num="2" w:space="708"/>
        </w:sectPr>
      </w:pPr>
    </w:p>
    <w:p w:rsidR="00C25E94" w:rsidRDefault="00AA21AD">
      <w:pPr>
        <w:pStyle w:val="Heading1"/>
        <w:spacing w:after="288"/>
        <w:ind w:left="-5"/>
      </w:pPr>
      <w:r>
        <w:t xml:space="preserve">SOLUTIONS TO ETHICS &amp; EQUITY FEATURES </w:t>
      </w:r>
    </w:p>
    <w:p w:rsidR="00C25E94" w:rsidRDefault="00AA21AD">
      <w:pPr>
        <w:spacing w:after="303"/>
        <w:ind w:left="-13" w:right="43"/>
      </w:pPr>
      <w:r>
        <w:rPr>
          <w:b/>
          <w:u w:val="single" w:color="000000"/>
        </w:rPr>
        <w:t>A Proper Allocation for W–2 Wages Purposes? (p. 3-4)</w:t>
      </w:r>
      <w:r>
        <w:rPr>
          <w:b/>
        </w:rPr>
        <w:t>.</w:t>
      </w:r>
      <w:r>
        <w:t xml:space="preserve"> Workers who have “lost” their Social Security numbers sound like undocumented (“illegal”) types. If so, Egret could be vulnerable for various fines and penalties under our immigration laws. Be that as it may, the calculation of DPAD is not proper. The all</w:t>
      </w:r>
      <w:r>
        <w:t>ocation of labor expense to DPGR is arbitrary and does not follow any of the methods prescribed by the IRS—see pages 7 and 8 of the Instructions for Form 8903 (Domestic Production Activities Deduction). If not enough labor cost is applied against DPGR, the</w:t>
      </w:r>
      <w:r>
        <w:t>n QPAI will be overstated. Also, DPAD cannot exceed 50% of the  W–2 wages (line 19 of Form 8903)</w:t>
      </w:r>
      <w:r>
        <w:rPr>
          <w:i/>
        </w:rPr>
        <w:t xml:space="preserve"> incurred in the production</w:t>
      </w:r>
      <w:r>
        <w:t xml:space="preserve"> process. Thus, any W–2 wages incurred in connection with non-DPGR (the repair activity) cannot be considered. </w:t>
      </w:r>
    </w:p>
    <w:p w:rsidR="00C25E94" w:rsidRDefault="00AA21AD">
      <w:pPr>
        <w:spacing w:after="393"/>
        <w:ind w:left="-13" w:right="43"/>
      </w:pPr>
      <w:r>
        <w:rPr>
          <w:b/>
          <w:u w:val="single" w:color="000000"/>
        </w:rPr>
        <w:t>The Minimum Tax Credi</w:t>
      </w:r>
      <w:r>
        <w:rPr>
          <w:b/>
          <w:u w:val="single" w:color="000000"/>
        </w:rPr>
        <w:t>t One-Way Street (p. 3-30)</w:t>
      </w:r>
      <w:r>
        <w:rPr>
          <w:b/>
        </w:rPr>
        <w:t>.</w:t>
      </w:r>
      <w:r>
        <w:t xml:space="preserve"> The fact that the same income may be taxed twice does not seem fair. For example, a preference item generates a regular tax in one year and results in an AMT in a later year. Unfortunately, there is no help (although a minimum t</w:t>
      </w:r>
      <w:r>
        <w:t xml:space="preserve">ax credit is generated that can be used in </w:t>
      </w:r>
      <w:r>
        <w:rPr>
          <w:i/>
        </w:rPr>
        <w:t>future</w:t>
      </w:r>
      <w:r>
        <w:t xml:space="preserve"> years). This unfairness is similar to a situation where an individual (or corporation) has extraordinary income in one or two years—surrounded by years of lower income levels. At one time, an income averagi</w:t>
      </w:r>
      <w:r>
        <w:t xml:space="preserve">ng provision was available to correct this “inequity,” but the income averaging law was repealed when the tax rates were lowered. </w:t>
      </w:r>
    </w:p>
    <w:p w:rsidR="00C25E94" w:rsidRDefault="00AA21AD">
      <w:pPr>
        <w:pStyle w:val="Heading1"/>
        <w:spacing w:after="216"/>
        <w:ind w:left="-5"/>
      </w:pPr>
      <w:r>
        <w:t xml:space="preserve">SOLUTIONS TO ROGER CPA REVIEW QUESTIONS </w:t>
      </w:r>
    </w:p>
    <w:p w:rsidR="00C25E94" w:rsidRDefault="00AA21AD">
      <w:pPr>
        <w:spacing w:after="258"/>
        <w:ind w:left="-13" w:right="43"/>
      </w:pPr>
      <w:r>
        <w:t>Detailed answer feedback for Roger CPA Review questions is available on the instruct</w:t>
      </w:r>
      <w:r>
        <w:t xml:space="preserve">or companion site (www.cengage.com/login). </w:t>
      </w:r>
    </w:p>
    <w:p w:rsidR="00C25E94" w:rsidRDefault="00AA21AD">
      <w:pPr>
        <w:numPr>
          <w:ilvl w:val="0"/>
          <w:numId w:val="28"/>
        </w:numPr>
        <w:spacing w:after="201"/>
        <w:ind w:right="43" w:hanging="720"/>
      </w:pPr>
      <w:r>
        <w:t xml:space="preserve">d </w:t>
      </w:r>
      <w:r>
        <w:tab/>
        <w:t xml:space="preserve">4. </w:t>
      </w:r>
      <w:r>
        <w:tab/>
        <w:t xml:space="preserve">b </w:t>
      </w:r>
    </w:p>
    <w:p w:rsidR="00C25E94" w:rsidRDefault="00AA21AD">
      <w:pPr>
        <w:numPr>
          <w:ilvl w:val="0"/>
          <w:numId w:val="28"/>
        </w:numPr>
        <w:spacing w:after="201"/>
        <w:ind w:right="43" w:hanging="720"/>
      </w:pPr>
      <w:r>
        <w:t xml:space="preserve">d </w:t>
      </w:r>
      <w:r>
        <w:tab/>
        <w:t xml:space="preserve">5. </w:t>
      </w:r>
      <w:r>
        <w:tab/>
        <w:t xml:space="preserve">d </w:t>
      </w:r>
    </w:p>
    <w:p w:rsidR="00C25E94" w:rsidRDefault="00AA21AD">
      <w:pPr>
        <w:numPr>
          <w:ilvl w:val="0"/>
          <w:numId w:val="28"/>
        </w:numPr>
        <w:spacing w:after="65"/>
        <w:ind w:right="43" w:hanging="720"/>
      </w:pPr>
      <w:r>
        <w:t xml:space="preserve">c </w:t>
      </w:r>
    </w:p>
    <w:p w:rsidR="00C25E94" w:rsidRDefault="00AA21AD">
      <w:pPr>
        <w:spacing w:after="0" w:line="259" w:lineRule="auto"/>
        <w:ind w:left="0" w:right="0" w:firstLine="0"/>
        <w:jc w:val="left"/>
      </w:pPr>
      <w:r>
        <w:t xml:space="preserve"> </w:t>
      </w:r>
    </w:p>
    <w:p w:rsidR="00C25E94" w:rsidRDefault="00AA21AD">
      <w:pPr>
        <w:spacing w:after="0" w:line="259" w:lineRule="auto"/>
        <w:ind w:left="0" w:right="0" w:firstLine="0"/>
        <w:jc w:val="left"/>
      </w:pPr>
      <w:r>
        <w:t xml:space="preserve"> </w:t>
      </w:r>
    </w:p>
    <w:p w:rsidR="00C25E94" w:rsidRDefault="00AA21AD">
      <w:pPr>
        <w:spacing w:after="0" w:line="259" w:lineRule="auto"/>
        <w:ind w:left="0" w:right="0" w:firstLine="0"/>
        <w:jc w:val="left"/>
      </w:pPr>
      <w:r>
        <w:t xml:space="preserve"> </w:t>
      </w:r>
    </w:p>
    <w:p w:rsidR="00C25E94" w:rsidRDefault="00AA21AD">
      <w:pPr>
        <w:spacing w:after="0" w:line="259" w:lineRule="auto"/>
        <w:ind w:left="0" w:right="0" w:firstLine="0"/>
        <w:jc w:val="left"/>
      </w:pPr>
      <w:r>
        <w:t xml:space="preserve"> </w:t>
      </w:r>
    </w:p>
    <w:p w:rsidR="00C25E94" w:rsidRDefault="00AA21AD">
      <w:pPr>
        <w:spacing w:after="0" w:line="259" w:lineRule="auto"/>
        <w:ind w:left="0" w:right="0" w:firstLine="0"/>
        <w:jc w:val="left"/>
      </w:pPr>
      <w:r>
        <w:t xml:space="preserve"> </w:t>
      </w:r>
    </w:p>
    <w:p w:rsidR="00C25E94" w:rsidRDefault="00AA21AD">
      <w:pPr>
        <w:spacing w:after="0" w:line="259" w:lineRule="auto"/>
        <w:ind w:left="0" w:right="0" w:firstLine="0"/>
        <w:jc w:val="left"/>
      </w:pPr>
      <w:r>
        <w:t xml:space="preserve"> </w:t>
      </w:r>
    </w:p>
    <w:p w:rsidR="00C25E94" w:rsidRDefault="00AA21AD">
      <w:pPr>
        <w:spacing w:after="0" w:line="259" w:lineRule="auto"/>
        <w:ind w:left="0" w:right="55" w:firstLine="0"/>
        <w:jc w:val="center"/>
      </w:pPr>
      <w:r>
        <w:rPr>
          <w:b/>
        </w:rPr>
        <w:t xml:space="preserve"> </w:t>
      </w:r>
    </w:p>
    <w:sectPr w:rsidR="00C25E94">
      <w:type w:val="continuous"/>
      <w:pgSz w:w="12240" w:h="15840"/>
      <w:pgMar w:top="1440" w:right="1799" w:bottom="144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AA21AD">
      <w:pPr>
        <w:spacing w:after="0" w:line="240" w:lineRule="auto"/>
      </w:pPr>
      <w:r>
        <w:separator/>
      </w:r>
    </w:p>
  </w:endnote>
  <w:endnote w:type="continuationSeparator" w:id="0">
    <w:p w:rsidR="00000000" w:rsidRDefault="00AA21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E94" w:rsidRDefault="00C25E94">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E94" w:rsidRDefault="00AA21AD">
    <w:pPr>
      <w:spacing w:after="0" w:line="259" w:lineRule="auto"/>
      <w:ind w:left="1073" w:right="0" w:firstLine="0"/>
      <w:jc w:val="center"/>
    </w:pPr>
    <w:r>
      <w:rPr>
        <w:sz w:val="16"/>
      </w:rPr>
      <w:t>© 2018 Cengage Learning</w:t>
    </w:r>
    <w:r>
      <w:rPr>
        <w:sz w:val="16"/>
        <w:vertAlign w:val="superscript"/>
      </w:rPr>
      <w:t>®</w:t>
    </w:r>
    <w:r>
      <w:rPr>
        <w:sz w:val="16"/>
      </w:rPr>
      <w:t>. May not be scanned, copied or duplicated, or posted to a publicly accessible website, in whole or in part.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E94" w:rsidRDefault="00AA21AD">
    <w:pPr>
      <w:spacing w:after="0" w:line="259" w:lineRule="auto"/>
      <w:ind w:left="1073" w:right="0" w:firstLine="0"/>
      <w:jc w:val="center"/>
    </w:pPr>
    <w:r>
      <w:rPr>
        <w:sz w:val="16"/>
      </w:rPr>
      <w:t>© 2018 Cengage Learning</w:t>
    </w:r>
    <w:r>
      <w:rPr>
        <w:sz w:val="16"/>
        <w:vertAlign w:val="superscript"/>
      </w:rPr>
      <w:t>®</w:t>
    </w:r>
    <w:r>
      <w:rPr>
        <w:sz w:val="16"/>
      </w:rPr>
      <w:t>. May not be scanned, copied or duplicated, or posted to a publicly accessible website, in whole or in part.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E94" w:rsidRDefault="00AA21AD">
    <w:pPr>
      <w:spacing w:after="0" w:line="259" w:lineRule="auto"/>
      <w:ind w:left="0" w:right="7" w:firstLine="0"/>
      <w:jc w:val="center"/>
    </w:pPr>
    <w:r>
      <w:rPr>
        <w:sz w:val="16"/>
      </w:rPr>
      <w:t>© 2018 Cengage Learning</w:t>
    </w:r>
    <w:r>
      <w:rPr>
        <w:sz w:val="16"/>
        <w:vertAlign w:val="superscript"/>
      </w:rPr>
      <w:t>®</w:t>
    </w:r>
    <w:r>
      <w:rPr>
        <w:sz w:val="16"/>
      </w:rPr>
      <w:t>. May not be scanned, copied or duplicated, or posted to a publicly accessible website, in whole or in part.</w:t>
    </w:r>
    <w:r>
      <w:rPr>
        <w:b/>
        <w:sz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E94" w:rsidRDefault="00AA21AD">
    <w:pPr>
      <w:spacing w:after="0" w:line="259" w:lineRule="auto"/>
      <w:ind w:left="1728" w:right="-425" w:firstLine="0"/>
      <w:jc w:val="center"/>
    </w:pPr>
    <w:r>
      <w:rPr>
        <w:sz w:val="16"/>
      </w:rPr>
      <w:t>© 2018 Cengage Learning</w:t>
    </w:r>
    <w:r>
      <w:rPr>
        <w:sz w:val="16"/>
        <w:vertAlign w:val="superscript"/>
      </w:rPr>
      <w:t>®</w:t>
    </w:r>
    <w:r>
      <w:rPr>
        <w:sz w:val="16"/>
      </w:rPr>
      <w:t>. May not be scanned, copied or duplicated, or posted to a publicly accessible website, in whole or in part.</w:t>
    </w:r>
    <w:r>
      <w:rPr>
        <w:b/>
        <w:sz w:val="1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E94" w:rsidRDefault="00AA21AD">
    <w:pPr>
      <w:spacing w:after="0" w:line="259" w:lineRule="auto"/>
      <w:ind w:left="0" w:right="7" w:firstLine="0"/>
      <w:jc w:val="center"/>
    </w:pPr>
    <w:r>
      <w:rPr>
        <w:sz w:val="16"/>
      </w:rPr>
      <w:t>© 2018 Cengage Learning</w:t>
    </w:r>
    <w:r>
      <w:rPr>
        <w:sz w:val="16"/>
        <w:vertAlign w:val="superscript"/>
      </w:rPr>
      <w:t>®</w:t>
    </w:r>
    <w:r>
      <w:rPr>
        <w:sz w:val="16"/>
      </w:rPr>
      <w:t>. May not be scanned, copied or duplicated, or posted to a publicly accessible website, in whole or in part.</w:t>
    </w:r>
    <w:r>
      <w:rPr>
        <w:b/>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AA21AD">
      <w:pPr>
        <w:spacing w:after="0" w:line="240" w:lineRule="auto"/>
      </w:pPr>
      <w:r>
        <w:separator/>
      </w:r>
    </w:p>
  </w:footnote>
  <w:footnote w:type="continuationSeparator" w:id="0">
    <w:p w:rsidR="00000000" w:rsidRDefault="00AA21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E94" w:rsidRDefault="00C25E94">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E94" w:rsidRDefault="00C25E94">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E94" w:rsidRDefault="00C25E94">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E94" w:rsidRDefault="00AA21AD">
    <w:pPr>
      <w:tabs>
        <w:tab w:val="center" w:pos="5041"/>
      </w:tabs>
      <w:spacing w:after="0" w:line="259" w:lineRule="auto"/>
      <w:ind w:left="0" w:right="0" w:firstLine="0"/>
      <w:jc w:val="left"/>
    </w:pPr>
    <w:r>
      <w:rPr>
        <w:b/>
      </w:rPr>
      <w:t>3-</w:t>
    </w:r>
    <w:r>
      <w:fldChar w:fldCharType="begin"/>
    </w:r>
    <w:r>
      <w:instrText xml:space="preserve"> PAGE   \* MERGEFORMAT </w:instrText>
    </w:r>
    <w:r>
      <w:fldChar w:fldCharType="separate"/>
    </w:r>
    <w:r w:rsidRPr="00AA21AD">
      <w:rPr>
        <w:b/>
        <w:noProof/>
      </w:rPr>
      <w:t>22</w:t>
    </w:r>
    <w:r>
      <w:rPr>
        <w:b/>
      </w:rPr>
      <w:fldChar w:fldCharType="end"/>
    </w:r>
    <w:r>
      <w:rPr>
        <w:b/>
      </w:rPr>
      <w:t xml:space="preserve"> </w:t>
    </w:r>
    <w:r>
      <w:rPr>
        <w:b/>
      </w:rPr>
      <w:tab/>
      <w:t>2018 Corporations Volume/Solutions Manual</w:t>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E94" w:rsidRDefault="00AA21AD">
    <w:pPr>
      <w:tabs>
        <w:tab w:val="center" w:pos="1080"/>
        <w:tab w:val="center" w:pos="5761"/>
        <w:tab w:val="right" w:pos="10801"/>
      </w:tabs>
      <w:spacing w:after="0" w:line="259" w:lineRule="auto"/>
      <w:ind w:left="0" w:right="-1075" w:firstLine="0"/>
      <w:jc w:val="left"/>
    </w:pPr>
    <w:r>
      <w:rPr>
        <w:rFonts w:ascii="Calibri" w:eastAsia="Calibri" w:hAnsi="Calibri" w:cs="Calibri"/>
      </w:rPr>
      <w:tab/>
    </w:r>
    <w:r>
      <w:rPr>
        <w:b/>
      </w:rPr>
      <w:t xml:space="preserve"> </w:t>
    </w:r>
    <w:r>
      <w:rPr>
        <w:b/>
      </w:rPr>
      <w:tab/>
      <w:t xml:space="preserve">Corporations: Special Situations  </w:t>
    </w:r>
    <w:r>
      <w:rPr>
        <w:b/>
      </w:rPr>
      <w:tab/>
      <w:t>3-</w:t>
    </w:r>
    <w:r>
      <w:fldChar w:fldCharType="begin"/>
    </w:r>
    <w:r>
      <w:instrText xml:space="preserve"> PAGE   \* MERGEFORMAT </w:instrText>
    </w:r>
    <w:r>
      <w:fldChar w:fldCharType="separate"/>
    </w:r>
    <w:r w:rsidRPr="00AA21AD">
      <w:rPr>
        <w:b/>
        <w:noProof/>
      </w:rPr>
      <w:t>23</w:t>
    </w:r>
    <w:r>
      <w:rPr>
        <w:b/>
      </w:rPr>
      <w:fldChar w:fldCharType="end"/>
    </w:r>
    <w:r>
      <w:rPr>
        <w:b/>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E94" w:rsidRDefault="00AA21AD">
    <w:pPr>
      <w:tabs>
        <w:tab w:val="center" w:pos="5041"/>
      </w:tabs>
      <w:spacing w:after="0" w:line="259" w:lineRule="auto"/>
      <w:ind w:left="0" w:right="0" w:firstLine="0"/>
      <w:jc w:val="left"/>
    </w:pPr>
    <w:r>
      <w:rPr>
        <w:b/>
      </w:rPr>
      <w:t>3-</w:t>
    </w:r>
    <w:r>
      <w:fldChar w:fldCharType="begin"/>
    </w:r>
    <w:r>
      <w:instrText xml:space="preserve"> PAGE   \* MERGEFORMAT </w:instrText>
    </w:r>
    <w:r>
      <w:fldChar w:fldCharType="separate"/>
    </w:r>
    <w:r>
      <w:rPr>
        <w:b/>
      </w:rPr>
      <w:t>2</w:t>
    </w:r>
    <w:r>
      <w:rPr>
        <w:b/>
      </w:rPr>
      <w:fldChar w:fldCharType="end"/>
    </w:r>
    <w:r>
      <w:rPr>
        <w:b/>
      </w:rPr>
      <w:t xml:space="preserve"> </w:t>
    </w:r>
    <w:r>
      <w:rPr>
        <w:b/>
      </w:rPr>
      <w:tab/>
      <w:t>2018 Corporations Volume/Solutions Manual</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F48B3"/>
    <w:multiLevelType w:val="multilevel"/>
    <w:tmpl w:val="8BC6BBCC"/>
    <w:lvl w:ilvl="0">
      <w:start w:val="4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lowerLetter"/>
      <w:lvlRestart w:val="0"/>
      <w:lvlText w:val="%1.%2."/>
      <w:lvlJc w:val="left"/>
      <w:pPr>
        <w:ind w:left="14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EA6AF5"/>
    <w:multiLevelType w:val="hybridMultilevel"/>
    <w:tmpl w:val="11B8065C"/>
    <w:lvl w:ilvl="0" w:tplc="6D1AE3D4">
      <w:start w:val="3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A3A25E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20862B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7B6130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1B4C64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52EA97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91EE9E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C5C628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4E6145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910089"/>
    <w:multiLevelType w:val="hybridMultilevel"/>
    <w:tmpl w:val="642EC74E"/>
    <w:lvl w:ilvl="0" w:tplc="8466BB76">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6C6D956">
      <w:start w:val="1"/>
      <w:numFmt w:val="decimal"/>
      <w:lvlText w:val="(%2)"/>
      <w:lvlJc w:val="left"/>
      <w:pPr>
        <w:ind w:left="1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044F6D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7CE5B7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5AE501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7BA4DF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E42094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070796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2ECEDA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7BD7C35"/>
    <w:multiLevelType w:val="hybridMultilevel"/>
    <w:tmpl w:val="ACAA6020"/>
    <w:lvl w:ilvl="0" w:tplc="36B41D78">
      <w:start w:val="47"/>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A4C79B4">
      <w:start w:val="2017"/>
      <w:numFmt w:val="decimal"/>
      <w:lvlText w:val="%2"/>
      <w:lvlJc w:val="left"/>
      <w:pPr>
        <w:ind w:left="12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86ECA6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E94A96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C2ACB9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158577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1506A5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55CBC6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2EE911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50177F7"/>
    <w:multiLevelType w:val="hybridMultilevel"/>
    <w:tmpl w:val="0F94F1D8"/>
    <w:lvl w:ilvl="0" w:tplc="935EFB70">
      <w:start w:val="1"/>
      <w:numFmt w:val="decimal"/>
      <w:lvlText w:val="%1"/>
      <w:lvlJc w:val="left"/>
      <w:pPr>
        <w:ind w:left="55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2180C88">
      <w:start w:val="1"/>
      <w:numFmt w:val="lowerLetter"/>
      <w:lvlText w:val="%2"/>
      <w:lvlJc w:val="left"/>
      <w:pPr>
        <w:ind w:left="24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1C61442">
      <w:start w:val="1"/>
      <w:numFmt w:val="lowerRoman"/>
      <w:lvlText w:val="%3"/>
      <w:lvlJc w:val="left"/>
      <w:pPr>
        <w:ind w:left="32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37C7B6E">
      <w:start w:val="1"/>
      <w:numFmt w:val="decimal"/>
      <w:lvlText w:val="%4"/>
      <w:lvlJc w:val="left"/>
      <w:pPr>
        <w:ind w:left="39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F2A3E70">
      <w:start w:val="1"/>
      <w:numFmt w:val="lowerLetter"/>
      <w:lvlText w:val="%5"/>
      <w:lvlJc w:val="left"/>
      <w:pPr>
        <w:ind w:left="46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F487CEC">
      <w:start w:val="1"/>
      <w:numFmt w:val="lowerRoman"/>
      <w:lvlText w:val="%6"/>
      <w:lvlJc w:val="left"/>
      <w:pPr>
        <w:ind w:left="5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9CE9FB8">
      <w:start w:val="1"/>
      <w:numFmt w:val="decimal"/>
      <w:lvlText w:val="%7"/>
      <w:lvlJc w:val="left"/>
      <w:pPr>
        <w:ind w:left="6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CFE7CDA">
      <w:start w:val="1"/>
      <w:numFmt w:val="lowerLetter"/>
      <w:lvlText w:val="%8"/>
      <w:lvlJc w:val="left"/>
      <w:pPr>
        <w:ind w:left="6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3EC655A">
      <w:start w:val="1"/>
      <w:numFmt w:val="lowerRoman"/>
      <w:lvlText w:val="%9"/>
      <w:lvlJc w:val="left"/>
      <w:pPr>
        <w:ind w:left="7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5D67210"/>
    <w:multiLevelType w:val="hybridMultilevel"/>
    <w:tmpl w:val="53545706"/>
    <w:lvl w:ilvl="0" w:tplc="07DA7E6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52B43E">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CB632B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2F8B9B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4CA196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F8DE8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1483B9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B0416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6DAFA5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7B06CE9"/>
    <w:multiLevelType w:val="hybridMultilevel"/>
    <w:tmpl w:val="0F72F3F6"/>
    <w:lvl w:ilvl="0" w:tplc="A6A0E6FC">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D4A2B2">
      <w:start w:val="1"/>
      <w:numFmt w:val="lowerLetter"/>
      <w:lvlText w:val="%2."/>
      <w:lvlJc w:val="left"/>
      <w:pPr>
        <w:ind w:left="1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800A08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6A08D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BAC3B3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5DEC2B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EC0304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AB60C8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FDCC1B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30B11DF"/>
    <w:multiLevelType w:val="hybridMultilevel"/>
    <w:tmpl w:val="B102093C"/>
    <w:lvl w:ilvl="0" w:tplc="84E4967A">
      <w:start w:val="24"/>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80678F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FD4892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59CF5D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FE0ED8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1286E7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0746DB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B1811A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1926FF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8895C26"/>
    <w:multiLevelType w:val="hybridMultilevel"/>
    <w:tmpl w:val="CE702DA0"/>
    <w:lvl w:ilvl="0" w:tplc="CE5889F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5860B2">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A28DAF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47C594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604B8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9F257A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308935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B0B6E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64285F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9CA747A"/>
    <w:multiLevelType w:val="multilevel"/>
    <w:tmpl w:val="89027D96"/>
    <w:lvl w:ilvl="0">
      <w:start w:val="62"/>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3"/>
      <w:numFmt w:val="lowerLetter"/>
      <w:lvlRestart w:val="0"/>
      <w:lvlText w:val="%1.%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D63585A"/>
    <w:multiLevelType w:val="hybridMultilevel"/>
    <w:tmpl w:val="7B304832"/>
    <w:lvl w:ilvl="0" w:tplc="0B5ACEBE">
      <w:start w:val="37"/>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6004072">
      <w:start w:val="1"/>
      <w:numFmt w:val="lowerLetter"/>
      <w:lvlText w:val="%2."/>
      <w:lvlJc w:val="left"/>
      <w:pPr>
        <w:ind w:left="14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FCC404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8D4266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2E0546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DA2EE5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1EA285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180C7F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BA0134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0514212"/>
    <w:multiLevelType w:val="hybridMultilevel"/>
    <w:tmpl w:val="C204CFEE"/>
    <w:lvl w:ilvl="0" w:tplc="8994992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93447CE">
      <w:start w:val="3"/>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E2C822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E208C4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C2E352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284149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71A5B0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27A472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1C2BBD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4CB14A6"/>
    <w:multiLevelType w:val="hybridMultilevel"/>
    <w:tmpl w:val="C2C8006C"/>
    <w:lvl w:ilvl="0" w:tplc="8F08C7E6">
      <w:start w:val="6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5EE7B58">
      <w:start w:val="1"/>
      <w:numFmt w:val="lowerLetter"/>
      <w:lvlText w:val="%2."/>
      <w:lvlJc w:val="left"/>
      <w:pPr>
        <w:ind w:left="14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40286E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7A0514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788339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3BCD9A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A1CCBE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41C809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B980A5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A1E5DA1"/>
    <w:multiLevelType w:val="hybridMultilevel"/>
    <w:tmpl w:val="8334D3FC"/>
    <w:lvl w:ilvl="0" w:tplc="273ED534">
      <w:start w:val="2014"/>
      <w:numFmt w:val="decimal"/>
      <w:lvlText w:val="%1"/>
      <w:lvlJc w:val="left"/>
      <w:pPr>
        <w:ind w:left="76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05C2876">
      <w:start w:val="1"/>
      <w:numFmt w:val="lowerLetter"/>
      <w:lvlText w:val="%2"/>
      <w:lvlJc w:val="left"/>
      <w:pPr>
        <w:ind w:left="27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308FC42">
      <w:start w:val="1"/>
      <w:numFmt w:val="lowerRoman"/>
      <w:lvlText w:val="%3"/>
      <w:lvlJc w:val="left"/>
      <w:pPr>
        <w:ind w:left="34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E4C3BD0">
      <w:start w:val="1"/>
      <w:numFmt w:val="decimal"/>
      <w:lvlText w:val="%4"/>
      <w:lvlJc w:val="left"/>
      <w:pPr>
        <w:ind w:left="4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20A49FE">
      <w:start w:val="1"/>
      <w:numFmt w:val="lowerLetter"/>
      <w:lvlText w:val="%5"/>
      <w:lvlJc w:val="left"/>
      <w:pPr>
        <w:ind w:left="48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1FAA45E">
      <w:start w:val="1"/>
      <w:numFmt w:val="lowerRoman"/>
      <w:lvlText w:val="%6"/>
      <w:lvlJc w:val="left"/>
      <w:pPr>
        <w:ind w:left="55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2C05B46">
      <w:start w:val="1"/>
      <w:numFmt w:val="decimal"/>
      <w:lvlText w:val="%7"/>
      <w:lvlJc w:val="left"/>
      <w:pPr>
        <w:ind w:left="63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1400C10">
      <w:start w:val="1"/>
      <w:numFmt w:val="lowerLetter"/>
      <w:lvlText w:val="%8"/>
      <w:lvlJc w:val="left"/>
      <w:pPr>
        <w:ind w:left="70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15656E4">
      <w:start w:val="1"/>
      <w:numFmt w:val="lowerRoman"/>
      <w:lvlText w:val="%9"/>
      <w:lvlJc w:val="left"/>
      <w:pPr>
        <w:ind w:left="77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AEB7638"/>
    <w:multiLevelType w:val="hybridMultilevel"/>
    <w:tmpl w:val="0FFA37D8"/>
    <w:lvl w:ilvl="0" w:tplc="C504CCF0">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A62169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734672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1E6E08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D42074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94C130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5B0523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90069D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E20DDA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D327019"/>
    <w:multiLevelType w:val="hybridMultilevel"/>
    <w:tmpl w:val="A2122CA6"/>
    <w:lvl w:ilvl="0" w:tplc="50C0665E">
      <w:start w:val="1"/>
      <w:numFmt w:val="decimal"/>
      <w:lvlText w:val="%1."/>
      <w:lvlJc w:val="left"/>
      <w:pPr>
        <w:ind w:left="6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47A75EA">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3C8328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C04F0E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2A5D4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752C3B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4F2D75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50421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B766D3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E5C2035"/>
    <w:multiLevelType w:val="multilevel"/>
    <w:tmpl w:val="A0623BEA"/>
    <w:lvl w:ilvl="0">
      <w:start w:val="28"/>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lowerLetter"/>
      <w:lvlRestart w:val="0"/>
      <w:lvlText w:val="%1.%2."/>
      <w:lvlJc w:val="left"/>
      <w:pPr>
        <w:ind w:left="14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E632132"/>
    <w:multiLevelType w:val="hybridMultilevel"/>
    <w:tmpl w:val="79180452"/>
    <w:lvl w:ilvl="0" w:tplc="34B42D62">
      <w:start w:val="59"/>
      <w:numFmt w:val="decimal"/>
      <w:lvlText w:val="%1."/>
      <w:lvlJc w:val="left"/>
      <w:pPr>
        <w:ind w:left="7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BF032B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7FE437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62A336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528884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6EEB71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85A0B2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B0C21C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31E343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5A2231D"/>
    <w:multiLevelType w:val="hybridMultilevel"/>
    <w:tmpl w:val="8B2ECCB8"/>
    <w:lvl w:ilvl="0" w:tplc="6E08BA90">
      <w:start w:val="58"/>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6ECE3D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56587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7EC625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2B0623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072E5E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168C2A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600A77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98A5BE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B676228"/>
    <w:multiLevelType w:val="hybridMultilevel"/>
    <w:tmpl w:val="C38EA0F2"/>
    <w:lvl w:ilvl="0" w:tplc="CC021594">
      <w:start w:val="51"/>
      <w:numFmt w:val="decimal"/>
      <w:lvlText w:val="%1."/>
      <w:lvlJc w:val="left"/>
      <w:pPr>
        <w:ind w:left="7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54671A0">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2DEB12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46EFD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C284B2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3DC4E9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6CC62A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D3A6A5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954164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2C62D01"/>
    <w:multiLevelType w:val="hybridMultilevel"/>
    <w:tmpl w:val="8B2A3A4C"/>
    <w:lvl w:ilvl="0" w:tplc="EBC8F2A6">
      <w:start w:val="2017"/>
      <w:numFmt w:val="decimal"/>
      <w:lvlText w:val="%1"/>
      <w:lvlJc w:val="left"/>
      <w:pPr>
        <w:ind w:left="2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340B434">
      <w:start w:val="1"/>
      <w:numFmt w:val="lowerLetter"/>
      <w:lvlText w:val="%2"/>
      <w:lvlJc w:val="left"/>
      <w:pPr>
        <w:ind w:left="23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5FC4ABE">
      <w:start w:val="1"/>
      <w:numFmt w:val="lowerRoman"/>
      <w:lvlText w:val="%3"/>
      <w:lvlJc w:val="left"/>
      <w:pPr>
        <w:ind w:left="30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F740374">
      <w:start w:val="1"/>
      <w:numFmt w:val="decimal"/>
      <w:lvlText w:val="%4"/>
      <w:lvlJc w:val="left"/>
      <w:pPr>
        <w:ind w:left="37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75EE568">
      <w:start w:val="1"/>
      <w:numFmt w:val="lowerLetter"/>
      <w:lvlText w:val="%5"/>
      <w:lvlJc w:val="left"/>
      <w:pPr>
        <w:ind w:left="44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E80C720">
      <w:start w:val="1"/>
      <w:numFmt w:val="lowerRoman"/>
      <w:lvlText w:val="%6"/>
      <w:lvlJc w:val="left"/>
      <w:pPr>
        <w:ind w:left="51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182BF56">
      <w:start w:val="1"/>
      <w:numFmt w:val="decimal"/>
      <w:lvlText w:val="%7"/>
      <w:lvlJc w:val="left"/>
      <w:pPr>
        <w:ind w:left="59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730B462">
      <w:start w:val="1"/>
      <w:numFmt w:val="lowerLetter"/>
      <w:lvlText w:val="%8"/>
      <w:lvlJc w:val="left"/>
      <w:pPr>
        <w:ind w:left="66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C282522">
      <w:start w:val="1"/>
      <w:numFmt w:val="lowerRoman"/>
      <w:lvlText w:val="%9"/>
      <w:lvlJc w:val="left"/>
      <w:pPr>
        <w:ind w:left="73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E84276B"/>
    <w:multiLevelType w:val="hybridMultilevel"/>
    <w:tmpl w:val="E82C9028"/>
    <w:lvl w:ilvl="0" w:tplc="B4603F20">
      <w:start w:val="45"/>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69C795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176276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9DA791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CECFC8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B7475E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796DFB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8DC0F9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D6CE63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CD737AF"/>
    <w:multiLevelType w:val="hybridMultilevel"/>
    <w:tmpl w:val="C6ECECC4"/>
    <w:lvl w:ilvl="0" w:tplc="CC48A44E">
      <w:start w:val="24"/>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6A25390">
      <w:start w:val="1"/>
      <w:numFmt w:val="decimal"/>
      <w:lvlText w:val="%2."/>
      <w:lvlJc w:val="left"/>
      <w:pPr>
        <w:ind w:left="14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B40B12E">
      <w:start w:val="1"/>
      <w:numFmt w:val="lowerLetter"/>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FDE898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0F2262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5A8D62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CE6690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7E4D6E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E7EC35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0233455"/>
    <w:multiLevelType w:val="hybridMultilevel"/>
    <w:tmpl w:val="D5AA93C8"/>
    <w:lvl w:ilvl="0" w:tplc="ED5A41D0">
      <w:start w:val="1"/>
      <w:numFmt w:val="lowerLetter"/>
      <w:lvlText w:val="(%1)"/>
      <w:lvlJc w:val="left"/>
      <w:pPr>
        <w:ind w:left="5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2F01A60">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89E0568">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7F4296E">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6D6840C">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E025FF2">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288C0B8">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3EAF8E0">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9967A98">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9B61B4A"/>
    <w:multiLevelType w:val="hybridMultilevel"/>
    <w:tmpl w:val="3CB09FA0"/>
    <w:lvl w:ilvl="0" w:tplc="29980832">
      <w:start w:val="29"/>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5A554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C4017A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91C70B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C7808C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0388C0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E8135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340059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7D8711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B682A61"/>
    <w:multiLevelType w:val="multilevel"/>
    <w:tmpl w:val="EDA43712"/>
    <w:lvl w:ilvl="0">
      <w:start w:val="42"/>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lowerLetter"/>
      <w:lvlRestart w:val="0"/>
      <w:lvlText w:val="%1.%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7CB6329A"/>
    <w:multiLevelType w:val="hybridMultilevel"/>
    <w:tmpl w:val="DF789660"/>
    <w:lvl w:ilvl="0" w:tplc="6EF2B44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422DD44">
      <w:start w:val="1"/>
      <w:numFmt w:val="decimal"/>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E8AD9D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6C0225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B4A549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048960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7EAB2C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F8C63E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90EC1D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7D697A53"/>
    <w:multiLevelType w:val="multilevel"/>
    <w:tmpl w:val="2B222090"/>
    <w:lvl w:ilvl="0">
      <w:start w:val="44"/>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lowerLetter"/>
      <w:lvlRestart w:val="0"/>
      <w:lvlText w:val="%1.%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6"/>
  </w:num>
  <w:num w:numId="2">
    <w:abstractNumId w:val="5"/>
  </w:num>
  <w:num w:numId="3">
    <w:abstractNumId w:val="8"/>
  </w:num>
  <w:num w:numId="4">
    <w:abstractNumId w:val="22"/>
  </w:num>
  <w:num w:numId="5">
    <w:abstractNumId w:val="26"/>
  </w:num>
  <w:num w:numId="6">
    <w:abstractNumId w:val="4"/>
  </w:num>
  <w:num w:numId="7">
    <w:abstractNumId w:val="20"/>
  </w:num>
  <w:num w:numId="8">
    <w:abstractNumId w:val="1"/>
  </w:num>
  <w:num w:numId="9">
    <w:abstractNumId w:val="10"/>
  </w:num>
  <w:num w:numId="10">
    <w:abstractNumId w:val="3"/>
  </w:num>
  <w:num w:numId="11">
    <w:abstractNumId w:val="2"/>
  </w:num>
  <w:num w:numId="12">
    <w:abstractNumId w:val="19"/>
  </w:num>
  <w:num w:numId="13">
    <w:abstractNumId w:val="11"/>
  </w:num>
  <w:num w:numId="14">
    <w:abstractNumId w:val="13"/>
  </w:num>
  <w:num w:numId="15">
    <w:abstractNumId w:val="23"/>
  </w:num>
  <w:num w:numId="16">
    <w:abstractNumId w:val="17"/>
  </w:num>
  <w:num w:numId="17">
    <w:abstractNumId w:val="12"/>
  </w:num>
  <w:num w:numId="18">
    <w:abstractNumId w:val="15"/>
  </w:num>
  <w:num w:numId="19">
    <w:abstractNumId w:val="7"/>
  </w:num>
  <w:num w:numId="20">
    <w:abstractNumId w:val="16"/>
  </w:num>
  <w:num w:numId="21">
    <w:abstractNumId w:val="24"/>
  </w:num>
  <w:num w:numId="22">
    <w:abstractNumId w:val="0"/>
  </w:num>
  <w:num w:numId="23">
    <w:abstractNumId w:val="25"/>
  </w:num>
  <w:num w:numId="24">
    <w:abstractNumId w:val="27"/>
  </w:num>
  <w:num w:numId="25">
    <w:abstractNumId w:val="21"/>
  </w:num>
  <w:num w:numId="26">
    <w:abstractNumId w:val="18"/>
  </w:num>
  <w:num w:numId="27">
    <w:abstractNumId w:val="9"/>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hideGrammaticalError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E94"/>
    <w:rsid w:val="00AA21AD"/>
    <w:rsid w:val="00C25E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8698EAF2-D837-4E34-918C-73A54BE6A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pPr>
      <w:spacing w:after="5" w:line="248" w:lineRule="auto"/>
      <w:ind w:left="1082" w:right="2" w:hanging="2"/>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3"/>
      <w:ind w:left="1085" w:hanging="10"/>
      <w:outlineLvl w:val="0"/>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117" Type="http://schemas.openxmlformats.org/officeDocument/2006/relationships/image" Target="media/image510.jpg"/><Relationship Id="rId21" Type="http://schemas.openxmlformats.org/officeDocument/2006/relationships/image" Target="media/image9.jpg"/><Relationship Id="rId42" Type="http://schemas.openxmlformats.org/officeDocument/2006/relationships/image" Target="media/image210.jpg"/><Relationship Id="rId47" Type="http://schemas.openxmlformats.org/officeDocument/2006/relationships/image" Target="media/image70.jpg"/><Relationship Id="rId63" Type="http://schemas.openxmlformats.org/officeDocument/2006/relationships/image" Target="media/image230.jpg"/><Relationship Id="rId68" Type="http://schemas.openxmlformats.org/officeDocument/2006/relationships/image" Target="media/image29.jpg"/><Relationship Id="rId84" Type="http://schemas.openxmlformats.org/officeDocument/2006/relationships/image" Target="media/image45.jpg"/><Relationship Id="rId89" Type="http://schemas.openxmlformats.org/officeDocument/2006/relationships/image" Target="media/image50.jpg"/><Relationship Id="rId112" Type="http://schemas.openxmlformats.org/officeDocument/2006/relationships/image" Target="media/image460.jpg"/><Relationship Id="rId16" Type="http://schemas.openxmlformats.org/officeDocument/2006/relationships/image" Target="media/image4.jpg"/><Relationship Id="rId107" Type="http://schemas.openxmlformats.org/officeDocument/2006/relationships/image" Target="media/image411.jpg"/><Relationship Id="rId11" Type="http://schemas.openxmlformats.org/officeDocument/2006/relationships/header" Target="header3.xml"/><Relationship Id="rId32" Type="http://schemas.openxmlformats.org/officeDocument/2006/relationships/image" Target="media/image20.jpg"/><Relationship Id="rId37" Type="http://schemas.openxmlformats.org/officeDocument/2006/relationships/image" Target="media/image25.jpg"/><Relationship Id="rId53" Type="http://schemas.openxmlformats.org/officeDocument/2006/relationships/image" Target="media/image130.jpg"/><Relationship Id="rId58" Type="http://schemas.openxmlformats.org/officeDocument/2006/relationships/image" Target="media/image180.jpg"/><Relationship Id="rId74" Type="http://schemas.openxmlformats.org/officeDocument/2006/relationships/image" Target="media/image35.jpg"/><Relationship Id="rId79" Type="http://schemas.openxmlformats.org/officeDocument/2006/relationships/image" Target="media/image40.jpg"/><Relationship Id="rId102" Type="http://schemas.openxmlformats.org/officeDocument/2006/relationships/image" Target="media/image360.jpg"/><Relationship Id="rId123" Type="http://schemas.openxmlformats.org/officeDocument/2006/relationships/header" Target="header6.xml"/><Relationship Id="rId5" Type="http://schemas.openxmlformats.org/officeDocument/2006/relationships/footnotes" Target="footnotes.xml"/><Relationship Id="rId61" Type="http://schemas.openxmlformats.org/officeDocument/2006/relationships/image" Target="media/image211.jpg"/><Relationship Id="rId82" Type="http://schemas.openxmlformats.org/officeDocument/2006/relationships/image" Target="media/image43.jpg"/><Relationship Id="rId90" Type="http://schemas.openxmlformats.org/officeDocument/2006/relationships/image" Target="media/image51.jpg"/><Relationship Id="rId95" Type="http://schemas.openxmlformats.org/officeDocument/2006/relationships/image" Target="media/image290.jpg"/><Relationship Id="rId19" Type="http://schemas.openxmlformats.org/officeDocument/2006/relationships/image" Target="media/image7.jpg"/><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image" Target="media/image310.jpg"/><Relationship Id="rId48" Type="http://schemas.openxmlformats.org/officeDocument/2006/relationships/image" Target="media/image80.jpg"/><Relationship Id="rId56" Type="http://schemas.openxmlformats.org/officeDocument/2006/relationships/image" Target="media/image160.jpg"/><Relationship Id="rId64" Type="http://schemas.openxmlformats.org/officeDocument/2006/relationships/image" Target="media/image240.jpg"/><Relationship Id="rId69" Type="http://schemas.openxmlformats.org/officeDocument/2006/relationships/image" Target="media/image30.jpg"/><Relationship Id="rId77" Type="http://schemas.openxmlformats.org/officeDocument/2006/relationships/image" Target="media/image38.jpg"/><Relationship Id="rId100" Type="http://schemas.openxmlformats.org/officeDocument/2006/relationships/image" Target="media/image340.jpg"/><Relationship Id="rId105" Type="http://schemas.openxmlformats.org/officeDocument/2006/relationships/image" Target="media/image390.jpg"/><Relationship Id="rId113" Type="http://schemas.openxmlformats.org/officeDocument/2006/relationships/image" Target="media/image470.jpg"/><Relationship Id="rId118" Type="http://schemas.openxmlformats.org/officeDocument/2006/relationships/image" Target="media/image520.jpg"/><Relationship Id="rId126"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image" Target="media/image111.jpg"/><Relationship Id="rId72" Type="http://schemas.openxmlformats.org/officeDocument/2006/relationships/image" Target="media/image33.jpg"/><Relationship Id="rId80" Type="http://schemas.openxmlformats.org/officeDocument/2006/relationships/image" Target="media/image41.jpg"/><Relationship Id="rId85" Type="http://schemas.openxmlformats.org/officeDocument/2006/relationships/image" Target="media/image46.jpg"/><Relationship Id="rId93" Type="http://schemas.openxmlformats.org/officeDocument/2006/relationships/image" Target="media/image270.jpg"/><Relationship Id="rId98" Type="http://schemas.openxmlformats.org/officeDocument/2006/relationships/image" Target="media/image320.jpg"/><Relationship Id="rId121" Type="http://schemas.openxmlformats.org/officeDocument/2006/relationships/footer" Target="footer4.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image" Target="media/image60.jpg"/><Relationship Id="rId59" Type="http://schemas.openxmlformats.org/officeDocument/2006/relationships/image" Target="media/image190.jpg"/><Relationship Id="rId67" Type="http://schemas.openxmlformats.org/officeDocument/2006/relationships/image" Target="media/image28.jpg"/><Relationship Id="rId103" Type="http://schemas.openxmlformats.org/officeDocument/2006/relationships/image" Target="media/image370.jpg"/><Relationship Id="rId108" Type="http://schemas.openxmlformats.org/officeDocument/2006/relationships/image" Target="media/image420.jpg"/><Relationship Id="rId116" Type="http://schemas.openxmlformats.org/officeDocument/2006/relationships/image" Target="media/image500.jpg"/><Relationship Id="rId124" Type="http://schemas.openxmlformats.org/officeDocument/2006/relationships/footer" Target="footer6.xml"/><Relationship Id="rId20" Type="http://schemas.openxmlformats.org/officeDocument/2006/relationships/image" Target="media/image8.jpg"/><Relationship Id="rId41" Type="http://schemas.openxmlformats.org/officeDocument/2006/relationships/image" Target="media/image110.jpg"/><Relationship Id="rId54" Type="http://schemas.openxmlformats.org/officeDocument/2006/relationships/image" Target="media/image140.jpg"/><Relationship Id="rId62" Type="http://schemas.openxmlformats.org/officeDocument/2006/relationships/image" Target="media/image220.jpg"/><Relationship Id="rId70" Type="http://schemas.openxmlformats.org/officeDocument/2006/relationships/image" Target="media/image31.jpg"/><Relationship Id="rId75" Type="http://schemas.openxmlformats.org/officeDocument/2006/relationships/image" Target="media/image36.jpg"/><Relationship Id="rId83" Type="http://schemas.openxmlformats.org/officeDocument/2006/relationships/image" Target="media/image44.jpg"/><Relationship Id="rId88" Type="http://schemas.openxmlformats.org/officeDocument/2006/relationships/image" Target="media/image49.jpg"/><Relationship Id="rId91" Type="http://schemas.openxmlformats.org/officeDocument/2006/relationships/image" Target="media/image52.jpg"/><Relationship Id="rId96" Type="http://schemas.openxmlformats.org/officeDocument/2006/relationships/image" Target="media/image300.jpg"/><Relationship Id="rId111" Type="http://schemas.openxmlformats.org/officeDocument/2006/relationships/image" Target="media/image450.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image" Target="media/image90.jpg"/><Relationship Id="rId57" Type="http://schemas.openxmlformats.org/officeDocument/2006/relationships/image" Target="media/image170.jpg"/><Relationship Id="rId106" Type="http://schemas.openxmlformats.org/officeDocument/2006/relationships/image" Target="media/image400.jpg"/><Relationship Id="rId114" Type="http://schemas.openxmlformats.org/officeDocument/2006/relationships/image" Target="media/image480.jpg"/><Relationship Id="rId119" Type="http://schemas.openxmlformats.org/officeDocument/2006/relationships/header" Target="header4.xml"/><Relationship Id="rId10" Type="http://schemas.openxmlformats.org/officeDocument/2006/relationships/footer" Target="footer2.xml"/><Relationship Id="rId31" Type="http://schemas.openxmlformats.org/officeDocument/2006/relationships/image" Target="media/image19.jpg"/><Relationship Id="rId44" Type="http://schemas.openxmlformats.org/officeDocument/2006/relationships/image" Target="media/image410.jpg"/><Relationship Id="rId52" Type="http://schemas.openxmlformats.org/officeDocument/2006/relationships/image" Target="media/image120.jpg"/><Relationship Id="rId60" Type="http://schemas.openxmlformats.org/officeDocument/2006/relationships/image" Target="media/image200.jpg"/><Relationship Id="rId65" Type="http://schemas.openxmlformats.org/officeDocument/2006/relationships/image" Target="media/image250.jpg"/><Relationship Id="rId73" Type="http://schemas.openxmlformats.org/officeDocument/2006/relationships/image" Target="media/image34.jpg"/><Relationship Id="rId78" Type="http://schemas.openxmlformats.org/officeDocument/2006/relationships/image" Target="media/image39.jpg"/><Relationship Id="rId81" Type="http://schemas.openxmlformats.org/officeDocument/2006/relationships/image" Target="media/image42.jpg"/><Relationship Id="rId86" Type="http://schemas.openxmlformats.org/officeDocument/2006/relationships/image" Target="media/image47.jpg"/><Relationship Id="rId94" Type="http://schemas.openxmlformats.org/officeDocument/2006/relationships/image" Target="media/image280.jpg"/><Relationship Id="rId99" Type="http://schemas.openxmlformats.org/officeDocument/2006/relationships/image" Target="media/image330.jpg"/><Relationship Id="rId101" Type="http://schemas.openxmlformats.org/officeDocument/2006/relationships/image" Target="media/image350.jpg"/><Relationship Id="rId122"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jpg"/><Relationship Id="rId18" Type="http://schemas.openxmlformats.org/officeDocument/2006/relationships/image" Target="media/image6.jpg"/><Relationship Id="rId39" Type="http://schemas.openxmlformats.org/officeDocument/2006/relationships/image" Target="media/image27.jpg"/><Relationship Id="rId109" Type="http://schemas.openxmlformats.org/officeDocument/2006/relationships/image" Target="media/image430.jpg"/><Relationship Id="rId34" Type="http://schemas.openxmlformats.org/officeDocument/2006/relationships/image" Target="media/image22.jpg"/><Relationship Id="rId50" Type="http://schemas.openxmlformats.org/officeDocument/2006/relationships/image" Target="media/image100.jpg"/><Relationship Id="rId55" Type="http://schemas.openxmlformats.org/officeDocument/2006/relationships/image" Target="media/image150.jpg"/><Relationship Id="rId76" Type="http://schemas.openxmlformats.org/officeDocument/2006/relationships/image" Target="media/image37.jpg"/><Relationship Id="rId97" Type="http://schemas.openxmlformats.org/officeDocument/2006/relationships/image" Target="media/image311.jpg"/><Relationship Id="rId104" Type="http://schemas.openxmlformats.org/officeDocument/2006/relationships/image" Target="media/image380.jpg"/><Relationship Id="rId120" Type="http://schemas.openxmlformats.org/officeDocument/2006/relationships/header" Target="header5.xml"/><Relationship Id="rId125"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image" Target="media/image32.jpg"/><Relationship Id="rId92" Type="http://schemas.openxmlformats.org/officeDocument/2006/relationships/image" Target="media/image53.jpg"/><Relationship Id="rId2" Type="http://schemas.openxmlformats.org/officeDocument/2006/relationships/styles" Target="styles.xml"/><Relationship Id="rId29" Type="http://schemas.openxmlformats.org/officeDocument/2006/relationships/image" Target="media/image17.jpg"/><Relationship Id="rId24" Type="http://schemas.openxmlformats.org/officeDocument/2006/relationships/image" Target="media/image12.jpg"/><Relationship Id="rId40" Type="http://schemas.openxmlformats.org/officeDocument/2006/relationships/image" Target="media/image0.jpg"/><Relationship Id="rId45" Type="http://schemas.openxmlformats.org/officeDocument/2006/relationships/image" Target="media/image54.jpg"/><Relationship Id="rId66" Type="http://schemas.openxmlformats.org/officeDocument/2006/relationships/image" Target="media/image260.jpg"/><Relationship Id="rId87" Type="http://schemas.openxmlformats.org/officeDocument/2006/relationships/image" Target="media/image48.jpg"/><Relationship Id="rId110" Type="http://schemas.openxmlformats.org/officeDocument/2006/relationships/image" Target="media/image440.jpg"/><Relationship Id="rId115" Type="http://schemas.openxmlformats.org/officeDocument/2006/relationships/image" Target="media/image49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7282</Words>
  <Characters>41513</Characters>
  <Application>Microsoft Office Word</Application>
  <DocSecurity>4</DocSecurity>
  <Lines>345</Lines>
  <Paragraphs>97</Paragraphs>
  <ScaleCrop>false</ScaleCrop>
  <Company/>
  <LinksUpToDate>false</LinksUpToDate>
  <CharactersWithSpaces>48698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- 89983_V2_ch03_SM_ptg01_001-022_rev05</dc:title>
  <dc:subject/>
  <dc:creator>saravankumar</dc:creator>
  <cp:keywords/>
  <cp:lastModifiedBy>Gross, Jonathan A</cp:lastModifiedBy>
  <cp:revision>2</cp:revision>
  <dcterms:created xsi:type="dcterms:W3CDTF">2017-06-19T20:21:00Z</dcterms:created>
  <dcterms:modified xsi:type="dcterms:W3CDTF">2017-06-19T20:21:00Z</dcterms:modified>
</cp:coreProperties>
</file>