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incorrect: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judicial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95-271,1995-64 I.R.B. 18</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2010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Cuts and Jobs Act of 2017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directly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decides not to pay a tax deficiency,  must litigate in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(formerly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 (Thomson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in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02 Working With the Tax Law</dc:title>
  <dc:creator>Linda Conley</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GE2TONZXGI2DQNBR</vt:lpwstr>
  </property>
</Properties>
</file>