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Rules of tax law do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 Revenue Rulings and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professional need not worry about the relative weight of authority within the various tax law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In recent years, Congress has been relatively successful in simplifying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should always minimize their tax liability.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The first codification of the tax law occurred in 1954.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This Internal Revenue Code section citation is correct: § 212(1).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D refers to the “Corporate Distributions and Adjustments” section of the Internal Revenue Code</w:t>
            </w:r>
            <w:r>
              <w:rPr>
                <w:rStyle w:val="DefaultParagraphFont"/>
                <w:rFonts w:ascii="Times New Roman" w:eastAsia="Times New Roman" w:hAnsi="Times New Roman" w:cs="Times New Roman"/>
                <w:b w:val="0"/>
                <w:bCs w:val="0"/>
                <w:i/>
                <w:iCs/>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In general, Regulations are issued immediately after a statute is enacted.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Temporary Regulations are only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an administrative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following citation could be a correct citation: Rev. Rul. </w:t>
            </w:r>
            <w:r>
              <w:rPr>
                <w:rStyle w:val="DefaultParagraphFont"/>
                <w:rFonts w:ascii="Times New Roman" w:eastAsia="Times New Roman" w:hAnsi="Times New Roman" w:cs="Times New Roman"/>
                <w:b w:val="0"/>
                <w:bCs w:val="0"/>
                <w:i w:val="0"/>
                <w:iCs w:val="0"/>
                <w:smallCaps w:val="0"/>
                <w:color w:val="000000"/>
                <w:sz w:val="22"/>
                <w:szCs w:val="22"/>
                <w:bdr w:val="nil"/>
                <w:rtl w:val="0"/>
              </w:rPr>
              <w:t>2021-42</w:t>
            </w:r>
            <w:r>
              <w:rPr>
                <w:rStyle w:val="DefaultParagraphFont"/>
                <w:rFonts w:ascii="Times New Roman" w:eastAsia="Times New Roman" w:hAnsi="Times New Roman" w:cs="Times New Roman"/>
                <w:b w:val="0"/>
                <w:bCs w:val="0"/>
                <w:i w:val="0"/>
                <w:iCs w:val="0"/>
                <w:smallCaps w:val="0"/>
                <w:color w:val="000000"/>
                <w:sz w:val="22"/>
                <w:szCs w:val="22"/>
                <w:bdr w:val="nil"/>
                <w:rtl w:val="0"/>
              </w:rPr>
              <w:t>,1995-64 I.R.B. 982</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Post-1984 letter rulings may be substantial authority for purposes of the accuracy-related penalty in § 6662.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A letter ruling applies only to the taxpayer who asks for and obtains a letter ruling.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required to make a letter ruling public.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 deal with completed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Technical Advice Memoranda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precedents by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Court of Federal Claims. Only in the Tax Court can jurisdiction be obtained without first paying the assessed tax deficiency.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Three judges will normally hear each U.S. Tax Court case.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can obtain a jury trial in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Arizona is in the jurisdiction of the Eighth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Texas is in the jurisdiction of the Second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has been overturned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granting of a Writ of Certiorari indicates that at least four members of the Supreme Court believe that an issue is of sufficient importance to be heard by the full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refers to the party against whom a suit is brought.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term </w:t>
            </w:r>
            <w:r>
              <w:rPr>
                <w:rStyle w:val="DefaultParagraphFont"/>
                <w:rFonts w:ascii="Times New Roman" w:eastAsia="Times New Roman" w:hAnsi="Times New Roman" w:cs="Times New Roman"/>
                <w:b w:val="0"/>
                <w:bCs w:val="0"/>
                <w:i/>
                <w:iCs/>
                <w:smallCaps w:val="0"/>
                <w:color w:val="000000"/>
                <w:sz w:val="22"/>
                <w:szCs w:val="22"/>
                <w:bdr w:val="nil"/>
                <w:rtl w:val="0"/>
              </w:rPr>
              <w:t>petitioner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synonym for </w:t>
            </w:r>
            <w:r>
              <w:rPr>
                <w:rStyle w:val="DefaultParagraphFont"/>
                <w:rFonts w:ascii="Times New Roman" w:eastAsia="Times New Roman" w:hAnsi="Times New Roman" w:cs="Times New Roman"/>
                <w:b w:val="0"/>
                <w:bCs w:val="0"/>
                <w:i/>
                <w:iCs/>
                <w:smallCaps w:val="0"/>
                <w:color w:val="000000"/>
                <w:sz w:val="22"/>
                <w:szCs w:val="22"/>
                <w:bdr w:val="nil"/>
                <w:rtl w:val="0"/>
              </w:rPr>
              <w:t>defendant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meets most often in Washington, D.C.</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are 11 geographic U.S.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following citation is correct: </w:t>
            </w:r>
            <w:r>
              <w:rPr>
                <w:rStyle w:val="DefaultParagraphFont"/>
                <w:rFonts w:ascii="Times New Roman" w:eastAsia="Times New Roman" w:hAnsi="Times New Roman" w:cs="Times New Roman"/>
                <w:b w:val="0"/>
                <w:bCs w:val="0"/>
                <w:i/>
                <w:iCs/>
                <w:smallCaps w:val="0"/>
                <w:color w:val="000000"/>
                <w:sz w:val="22"/>
                <w:szCs w:val="22"/>
                <w:bdr w:val="nil"/>
                <w:rtl w:val="0"/>
              </w:rPr>
              <w:t>Larry G. Mitchell</w:t>
            </w:r>
            <w:r>
              <w:rPr>
                <w:rStyle w:val="DefaultParagraphFont"/>
                <w:rFonts w:ascii="Times New Roman" w:eastAsia="Times New Roman" w:hAnsi="Times New Roman" w:cs="Times New Roman"/>
                <w:b w:val="0"/>
                <w:bCs w:val="0"/>
                <w:i w:val="0"/>
                <w:iCs w:val="0"/>
                <w:smallCaps w:val="0"/>
                <w:color w:val="000000"/>
                <w:sz w:val="22"/>
                <w:szCs w:val="22"/>
                <w:bdr w:val="nil"/>
                <w:rtl w:val="0"/>
              </w:rPr>
              <w:t>, 131 T.C. 215 (2008).</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IRS issues an acquiescence or nonacquiescence only for regular Tax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direct conflict between an Internal Revenue Code section adopted in 2017 and a treaty with France (signed in 2016). The Internal Revenue Code section controls.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Index to Federal Tax Articles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(published by Thomson Reuters) is available electronically.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is considered the lowest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research process should </w:t>
            </w:r>
            <w:r>
              <w:rPr>
                <w:rStyle w:val="DefaultParagraphFont"/>
                <w:rFonts w:ascii="Times New Roman" w:eastAsia="Times New Roman" w:hAnsi="Times New Roman" w:cs="Times New Roman"/>
                <w:b w:val="0"/>
                <w:bCs w:val="0"/>
                <w:i/>
                <w:iCs/>
                <w:smallCaps w:val="0"/>
                <w:color w:val="000000"/>
                <w:sz w:val="22"/>
                <w:szCs w:val="22"/>
                <w:bdr w:val="nil"/>
                <w:rtl w:val="0"/>
              </w:rPr>
              <w:t>always</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begin with a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Electronic (online) databases are most frequently searched by the keyword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treasure trove is taxable when sold or exchanged.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 Bluebook is substantial authority for purposes of the accuracy related penalty.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purpose of effective tax planning is to reduce or defer the tax in the current tax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Deferring income to a subsequent year is considered to be tax avoidance.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Tax planning usually involves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Regulation section of the CPA exa</w:t>
            </w:r>
            <w:r>
              <w:rPr>
                <w:rStyle w:val="DefaultParagraphFont"/>
                <w:rFonts w:ascii="Times New Roman" w:eastAsia="Times New Roman" w:hAnsi="Times New Roman" w:cs="Times New Roman"/>
                <w:b w:val="0"/>
                <w:bCs w:val="0"/>
                <w:i w:val="0"/>
                <w:iCs w:val="0"/>
                <w:smallCaps w:val="0"/>
                <w:color w:val="000000"/>
                <w:sz w:val="22"/>
                <w:szCs w:val="22"/>
                <w:bdr w:val="nil"/>
                <w:rtl w:val="0"/>
              </w:rPr>
              <w:t>m is approximately 80%</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Taxation and 20% Law &amp; Professional Responsibilities.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Tax changes passed as part of the American Rescue Plan Act of 2021</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became part of the Internal Revenue Code of 1986.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tax measures typically originate in the Senate Finance Committee of the U.S.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Currently, the Internal Revenue Code of 1986 does not contain §§ 308, 309, and 310. This absence means these sections were repealed by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Before a tax bill can become law, it must be approved (signed) by the President of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Normally, when the Senate version of a tax bill differs from that passed by the House, a Joint Conference Committee drafts a compromise tax bill.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C refers to the subchapter in the Internal Revenue Code that deals with partnerships and partners.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issued by the National Office of the IRS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first published in the Internal Revenue Bulletin.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A Temporary Regulation under § 303 of the Code would be cited as follows: Temp. Reg. § 303.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first codified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Tax bills are handled by which committee in the U.S. House of Representatives?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Taxation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Floor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Subtitle A of the Internal Revenue Code covers which of the following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Income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Estate and gift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Employment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In § 212(1), the number (1) stands for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Subsection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Paragraph designation.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Subparagraph 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these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correct citation to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211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1222(1)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Section 2(a)(1)(A)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 are correct cites.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Chief Counsel Advice (CCA)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Code § 199A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Counsel Memorandum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types of Regulations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validity?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a Regulation that interprets the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Congress.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U.S. 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Designed to provide an interpretation of the tax law.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Carries more legal force than a Revenue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In addressing the importance of a Regulation, an IRS agent must: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 equal weight to the Internal Revenue Code and the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more weight to the Regulation rather than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Give less weight to the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w:t>
                  </w:r>
                  <w:r>
                    <w:rPr>
                      <w:rStyle w:val="DefaultParagraphFont"/>
                      <w:rFonts w:ascii="Times New Roman" w:eastAsia="Times New Roman" w:hAnsi="Times New Roman" w:cs="Times New Roman"/>
                      <w:b w:val="0"/>
                      <w:bCs w:val="0"/>
                      <w:i w:val="0"/>
                      <w:iCs w:val="0"/>
                      <w:smallCaps w:val="0"/>
                      <w:color w:val="000000"/>
                      <w:sz w:val="22"/>
                      <w:szCs w:val="22"/>
                      <w:bdr w:val="nil"/>
                      <w:rtl w:val="0"/>
                    </w:rPr>
                    <w:t>Code rather than to a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item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cited as a precedent?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What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Found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indicates that a decision has precedential value for future cases?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Stare decisis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En banc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Reenactment doctrine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loses in a U.S. District Court may appeal to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who decides not to pay a tax deficiency,  must litigate in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A jury trial is available in the following trial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taxpayer may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appeal a case from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IRS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acquiesce to the following tax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 Division of the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Checkpoint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is presently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major tax service?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Standard Federal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Tax Management Portfolios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publisher offers the </w:t>
            </w:r>
            <w:r>
              <w:rPr>
                <w:rStyle w:val="DefaultParagraphFont"/>
                <w:rFonts w:ascii="Times New Roman" w:eastAsia="Times New Roman" w:hAnsi="Times New Roman" w:cs="Times New Roman"/>
                <w:b w:val="0"/>
                <w:bCs w:val="0"/>
                <w:i/>
                <w:iCs/>
                <w:smallCaps w:val="0"/>
                <w:color w:val="000000"/>
                <w:sz w:val="22"/>
                <w:szCs w:val="22"/>
                <w:bdr w:val="nil"/>
                <w:rtl w:val="0"/>
              </w:rPr>
              <w:t>United States Tax Reporter?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Checkpoint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 Institute of America)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LexisNexis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Analysts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When searching on an electronic (online) tax service, which approach is more frequently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Keyword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Table of contents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Index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not a judicial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CCA 200909002.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2008-289.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TCM 32 (1979).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592 F.Supp.18.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the lowest authority in the Federal tax law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tax-related website probably gives the best policy-orientation results?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taxalmanac.org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irs.gov</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EY.com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taxanaly</w:t>
                  </w:r>
                  <w:r>
                    <w:rPr>
                      <w:rStyle w:val="DefaultParagraphFont"/>
                      <w:rFonts w:ascii="Times New Roman" w:eastAsia="Times New Roman" w:hAnsi="Times New Roman" w:cs="Times New Roman"/>
                      <w:b w:val="0"/>
                      <w:bCs w:val="0"/>
                      <w:i w:val="0"/>
                      <w:iCs w:val="0"/>
                      <w:smallCaps w:val="0"/>
                      <w:color w:val="000000"/>
                      <w:sz w:val="22"/>
                      <w:szCs w:val="22"/>
                      <w:bdr w:val="nil"/>
                      <w:rtl w:val="0"/>
                    </w:rPr>
                    <w:t>sts.com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would probably carry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Reviewed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 Court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w:t>
                  </w:r>
                  <w:r>
                    <w:rPr>
                      <w:rStyle w:val="DefaultParagraphFont"/>
                      <w:rFonts w:ascii="Times New Roman" w:eastAsia="Times New Roman" w:hAnsi="Times New Roman" w:cs="Times New Roman"/>
                      <w:b w:val="0"/>
                      <w:bCs w:val="0"/>
                      <w:i w:val="0"/>
                      <w:iCs w:val="0"/>
                      <w:smallCaps w:val="0"/>
                      <w:color w:val="000000"/>
                      <w:sz w:val="22"/>
                      <w:szCs w:val="22"/>
                      <w:bdr w:val="nil"/>
                      <w:rtl w:val="0"/>
                    </w:rPr>
                    <w: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Procedural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Finalized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Interpretive Regulations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items tell taxpayers the IRS’s reaction to certain court decisions?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Notice 89-99, 1989-2 C.B. 422.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Estate of Harry Holmes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326 U.S. 480 (1946).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79-353, 1979-2 C.B. 325.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Prop. Reg. § 1.752-4T(f).</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with respect to taxation on the CPA exam?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CPA exam now has only four parts.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are no longer task-based simulations on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candidate may not go back after exiting a testlet.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Simulations include a four-function pop-up calculator.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court decisions carries more weight?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Second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U.S.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company does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publish citators for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John Wiley &amp; 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Wolters Kluwer (Commerce Clearing 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Thomson Reuters (RIA)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Westlaw</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Interpret the following citation: 64-1 USTC ¶9618, aff’d in 344 F.2d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Circuit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Tax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Apollo Computer, Inc. v. U.S., 95-1 (USTC ¶50,015 (Fed.Cl.,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Westreco, Inc.,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Bausch &amp; Lomb, Inc. v. Comm., 933 F.2d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Portland Manufacturing Co. v. Comm., 35 AFTR2d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overruled?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633 F.2d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Rem’d 399 F.2d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Aff’d 914 F.2d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Rev’d 935 F.2d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 above.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Serverino R. Nico, Jr., 67 T.C. 647 (1977).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Article by a Federal judge in Tax Notes.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IRS publication.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Written determination letter.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 nonacquiescence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is issued in the Federal Registrar.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nonacquiescence in published in the 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nonacquiescences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Treasury Department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Regulations are issued by the U.S. Treasury Department under authority granted by Congress. Interpretive by nature, they provide taxpayers with considerable guidance on the meaning and application of the Internal Revenue Code. Regulations may be issued in </w:t>
                  </w:r>
                  <w:r>
                    <w:rPr>
                      <w:rStyle w:val="DefaultParagraphFont"/>
                      <w:rFonts w:ascii="Times New Roman" w:eastAsia="Times New Roman" w:hAnsi="Times New Roman" w:cs="Times New Roman"/>
                      <w:b w:val="0"/>
                      <w:bCs w:val="0"/>
                      <w:i/>
                      <w:iCs/>
                      <w:smallCaps w:val="0"/>
                      <w:color w:val="000000"/>
                      <w:sz w:val="22"/>
                      <w:szCs w:val="22"/>
                      <w:bdr w:val="nil"/>
                      <w:rtl w:val="0"/>
                    </w:rPr>
                    <w:t>proposed, temporary,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or </w:t>
                  </w:r>
                  <w:r>
                    <w:rPr>
                      <w:rStyle w:val="DefaultParagraphFont"/>
                      <w:rFonts w:ascii="Times New Roman" w:eastAsia="Times New Roman" w:hAnsi="Times New Roman" w:cs="Times New Roman"/>
                      <w:b w:val="0"/>
                      <w:bCs w:val="0"/>
                      <w:i/>
                      <w:iCs/>
                      <w:smallCaps w:val="0"/>
                      <w:color w:val="000000"/>
                      <w:sz w:val="22"/>
                      <w:szCs w:val="22"/>
                      <w:bdr w:val="nil"/>
                      <w:rtl w:val="0"/>
                    </w:rPr>
                    <w:t>final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form. Regulations carry considerable authority as the official interpretation of tax statutes. They are an important factor to consider in complying with the tax law. Courts generally ignore Proposed Regulations.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Revenue Rulings with Revenue Procedures.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are official pronouncements of the National Office of the IRS. They typically provide one or more examples of how the IRS would apply a law to specific fact situations. Like Regulations, Revenue Rulings are designed to provide interpretation of the tax law. However, they do not carry the same legal force and effect as Regulations and usually deal with more restricted problems. Regulations are approved by the Secretary of the Treasury, whereas Revenue Rulings generally are not.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issued in the same manner as Revenue Rulings, but deal with the internal management practices and procedures of the IRS. Familiarity with these procedures can increase taxpayer compliance and help the IRS administer the tax laws more efficiently. A taxpayer’s failure to follow a Revenue Procedure can result in unnecessary delay or, in a discretionary situation, can cause the IRS to decline to act on behalf of the taxpayer.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How can Congressional Committee Reports be used by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Congressional Committee Reports often explain the provisions of proposed legislation and are a valuable source of ascertaining the intent of Congress. The intent of Congress is the key to interpreting new legislation by taxpayers, especially before Regulations are published.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Technical Advice Memorandum?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National Office of the IRS releases Technical Advice Memoranda (TAMs) weekly. TAMs resemble letter rulings in that they give the IRS’s determination of an issue. However, they differ in several respects. Letter rulings deal with proposed transactions and are issued to taxpayers at their request. In contrast, TAMs deal with completed transactions. Furthermore, TAMs arise from questions raised by IRS personnel during audits and are issued by the National Office of the IRS to its field personnel. TAMs are often requested for questions relating to exempt organizations and employee plans. TAMs are not officially published and may not be cited or used as precedent.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the advantages and disadvantages of the Small Cases Division of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is no appeal from the Small Cases Division. The jurisdiction of the Small Cases Division is limited to cases involving amounts of $50,000 or less. The proceedings of the Small Cases Division are informal (e.g., no necessity for the taxpayer to be represented by a lawyer or other tax adviser). Often, special trial judges rather than Tax Court judges preside over these proceedings. The decisions of the Small Cases Division are not precedents for any other court decision and are not reviewable by any higher court. Proceedings can be more timely and less expensive in the Small Cases Division. Some of these cases can now be found on the U.S. Tax Court Internet Website.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Distinguish between the jurisdiction of the U.S. Tax Court and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Tax Court hears only tax cases and is the most popular tax forum. The U.S. District Court hears a wide variety of nontax cases, including drug crimes and other Federal violations, as well as tax cases. Some Tax Court justices have been appointed from IRS or Treasury Department positions. For these reasons, some people suggest that the U.S. Tax Court has more expertise in tax matters.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treaties fit within tax sources?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 signs certain tax treaties (sometimes called tax conventions) with foreign countries to render mutual assistance in tax enforcement and to avoid double taxation. Tax legislation enacted in 1988 provided that neither a tax law nor a tax treaty takes general precedence. Thus, when there is a direct conflict with the Internal Revenue Code and a treaty, the most recent item will take precedence. A taxpayer must disclose on the tax return any position where a treaty overrides a tax law. There is a $1,000 penalty per failure to disclose for individuals and a $10,000 per failure to disclose penalty for corporations.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02 Working With the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02 Working With the Tax Law</dc:title>
  <dc:creator>Giorgio  Gotti</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GE2TONZXGQZDCMRQ</vt:lpwstr>
  </property>
</Properties>
</file>