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16.1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spacing w:after="0"/>
        <w:jc w:val="left"/>
      </w:pPr>
      <w:r>
        <w:rPr>
          <w:rFonts w:ascii="Times New Roman"/>
          <w:sz w:val="28"/>
        </w:rPr>
        <w:t>Student name:__________</w:t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Which of the following is not considered to be a separate entity for tax purposes in Canada?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An individual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proprietorship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corporation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 trust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Which of the following attitudes and actions is most likely to help decision-makers develop an efficient approach to taxation?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Cash flows should be considered from a before-tax perspective when making decisions.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Functional managers should not be held responsible for the tax effects of decisions within their divisions.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Tax costs to a business should be regarded as controllable expenses, much like product costs and selling costs.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All managers should own a copy of the Income Tax Act.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Which of the following statements is true?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Dividends paid by a corporation are deductible by that corporation and are a form of property income for the recipient.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Dividends paid by a corporation are deductible by that corporation and are a form of business income for the recipient.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Dividends paid by a corporation are not deductible by that corporation and are a form of business income for the recipient.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Dividends paid by a corporation are not deductible by that corporation and are a form of property income for the recipient.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When assessing the value of a corporation, the most relevant information that decision-makers normally consider is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potential for before-tax profits.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potential for after-tax profits.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current corporate tax rate.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cash flow before-tax.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Income tax is calculated for which of the following jurisdictional groups?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Municipal, provincial, and federal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Municipal, federal, and foreign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Provincial, federal, and foreign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Municipal, provincial, and foreign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Two investor corporations may not enter jointly into which of the following?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Joint venture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Partnership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Separate corporation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Proprietorship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Which of the following statements is true?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Cash flow should never be calculated on an after-tax basis.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tax cost to a business should be regarded as a cost of doing business.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Income tax cannot be treated as a controllable cost.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value of an enterprise should be based on pre-tax cash flow.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Logan holds a 7% interest-bearing debt instrument in Glow Co. Glow Co.'s tax rate is 27%, and Logan is in a 45% tax bracket. Which of the following statements is correct?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after-tax cost of the debt instrument is 5.11% to Glow Co., and the after-tax value to Logan is 3.85%.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after-tax cost of the debt instrument is 5.11% to Glow Co., and the after-tax value to Logan is 3.15%.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after-tax cost of the debt instrument is 1.89% to Glow Co., and the after-tax value to Logan is 3.15%.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after-tax cost of the debt instrument is 7% to Glow Co., and the after-tax value to Logan is 7%.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Which of the following lists accurately names the five general income categories for tax purposes?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Business, Interest, Employment, Capital Gains, Other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Business, Property, Employment, Capital Gains, Foreign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Business, Property, Employment, Capital Gains, Other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Business, Property, Employment, Investments, Other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Proprietorships, corporations, partnerships, limited partnerships, joint ventures, and income trusts are all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categories of income for tax purposes.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tax jurisdictions.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examples of financial instruments.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forms of business.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Which of the following statements regarding taxation within jurisdictions in Canada is true?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Federal and provincial or territorial tax brackets are always identical to one another.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Only federal taxes apply to individuals while both federal and provincial or territorial taxes apply to corporations.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Both federal and provincial or territorial taxes apply to Canadian taxpayers.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Only federal taxes apply to corporations while both federal and provincial taxes apply to individuals.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Jamie is an employee at ABC Ltd. and is in a 45% tax bracket. ABC Ltd. has a tax rate of 27%. The company has offered Jamie a 10% pay raise. Jamie's current salary is $50,000. What is after-tax cost of the raise to ABC Ltd.?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$1,350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$2,750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$2,858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$3,650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Simone is an employee at XYZ Ltd. and is in a 45% tax bracket. XYZ Ltd. has a tax rate of 27%. The company has offered Simone a 10% pay raise. Simone's current salary is $50,000. What is after-tax value of the raise to Simone?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$1,350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$2,250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$2,750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$5,000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All cash flow must be considered on an after-tax basis because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companies want a positive cash flow.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value to a business must be considered.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the investor's tax rate is irrelevant.</w:t>
      </w:r>
      <w:r>
        <w:rPr>
          <w:rFonts w:ascii="Times New Roman"/>
          <w:sz w:val="24"/>
        </w:rPr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decisions that appear favourable on a pre-tax basis may be unfavorable or marginally favourable on an after- tax basis.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Which of the following is not a separate entity for tax purposes?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Corporation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Trust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Partnership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Individual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The Canadian income tax system for individuals is considered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progressive.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regressive.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flat.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unfair.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What is the most significant form of taxation that affects return on investment?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Property Taxes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Excise Taxes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Income Taxes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All taxes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sz w:val="24"/>
        </w:rPr>
        <w:t>QWERTY Co. decides to give a 6% raise to its employee Jean, who is currently in the 40% tax bracket. The company is in the 27% tax bracket. What is the after-tax implication for each of the parties in this transaction?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The company has a net after-tax cost of 4.38% and Jean has an after-tax income of 3.6%.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Both Jean and the company have a 3% after-tax cost/benefit.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We should only consider the pre-tax amount of 6% to each party.</w:t>
      </w:r>
    </w:p>
    <w:p>
      <w:pPr>
        <w:pStyle w:val="ListParagraph"/>
        <w:keepNext w:val="true"/>
        <w:keepLines w:val="true"/>
        <w:numPr>
          <w:ilvl w:val="7"/>
          <w:numId w:val="2"/>
        </w:numPr>
        <w:spacing w:after="0"/>
        <w:jc w:val="left"/>
      </w:pPr>
      <w:r>
        <w:rPr>
          <w:rFonts w:ascii="Times New Roman"/>
          <w:sz w:val="24"/>
        </w:rPr>
        <w:t>Both the company and Jean have an after-tax cost of 4.38%.</w:t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Explain what is meant by the statement "tax should be treated as a ‘controllable cost'."</w:t>
      </w:r>
      <w:r>
        <w:rPr>
          <w:rFonts w:ascii="Times New Roman"/>
          <w:sz w:val="24"/>
        </w:rPr>
      </w:r>
    </w:p>
    <w:p>
      <w:pPr>
        <w:keepNext w:val="true"/>
        <w:keepLines w:val="true"/>
        <w:spacing w:after="0"/>
        <w:jc w:val="left"/>
      </w:pPr>
      <w:r>
        <w:rPr>
          <w:rFonts w:ascii="Times New Roman"/>
          <w:sz w:val="24"/>
        </w:rPr>
        <w:br/>
        <w:br/>
        <w:br/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Blake holds a 5% interest-bearing debt instrument in Day Co. Day Co.'s tax rate is 27%, and Blake is in a 50% tax bracket.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</w:t>
      </w:r>
      <w:r>
        <w:rPr>
          <w:rFonts w:ascii="Times New Roman"/>
          <w:b/>
          <w:i w:val="false"/>
          <w:color w:val="000000"/>
          <w:sz w:val="24"/>
        </w:rPr>
        <w:t>Required</w:t>
      </w:r>
      <w:r>
        <w:rPr>
          <w:rFonts w:ascii="Times New Roman"/>
          <w:b w:val="false"/>
          <w:i w:val="false"/>
          <w:color w:val="000000"/>
          <w:sz w:val="24"/>
        </w:rPr>
        <w:t>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A) Calculate the after-tax cost (as a percentage) of the debt-instrument to Day Co.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B) Calculate the after-tax value (as a percentage) of Blake's interest income.</w:t>
      </w:r>
      <w:r>
        <w:rPr>
          <w:rFonts w:ascii="Times New Roman"/>
          <w:sz w:val="24"/>
        </w:rPr>
      </w:r>
    </w:p>
    <w:p>
      <w:pPr>
        <w:keepNext w:val="true"/>
        <w:keepLines w:val="true"/>
        <w:spacing w:after="0"/>
        <w:jc w:val="left"/>
      </w:pPr>
      <w:r>
        <w:rPr>
          <w:rFonts w:ascii="Times New Roman"/>
          <w:sz w:val="24"/>
        </w:rPr>
        <w:br/>
        <w:br/>
        <w:br/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pStyle w:val="ListParagraph"/>
        <w:keepNext w:val="true"/>
        <w:keepLines w:val="true"/>
        <w:numPr>
          <w:ilvl w:val="0"/>
          <w:numId w:val="2"/>
        </w:numPr>
        <w:spacing w:after="0"/>
        <w:jc w:val="left"/>
      </w:pPr>
      <w:r>
        <w:rPr>
          <w:rFonts w:ascii="Times New Roman"/>
          <w:b w:val="false"/>
          <w:i w:val="false"/>
          <w:color w:val="000000"/>
          <w:sz w:val="24"/>
        </w:rPr>
        <w:t>Tanner holds a 7% interest-bearing debt instrument in Eve Co. Eve Co.'s tax rate is 13%, and Tanner is in a 45% tax bracket.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</w:t>
      </w:r>
      <w:r>
        <w:rPr>
          <w:rFonts w:ascii="Times New Roman"/>
          <w:b/>
          <w:i w:val="false"/>
          <w:color w:val="000000"/>
          <w:sz w:val="24"/>
        </w:rPr>
        <w:t>Required</w:t>
      </w:r>
      <w:r>
        <w:rPr>
          <w:rFonts w:ascii="Times New Roman"/>
          <w:b w:val="false"/>
          <w:i w:val="false"/>
          <w:color w:val="000000"/>
          <w:sz w:val="24"/>
        </w:rPr>
        <w:t>: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A) Calculate the after-tax cost (as a percentage) of the debt-instrument to Eve Co.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>B) Calculate the after-tax value (as a percentage) of Tanner's interest income.</w:t>
      </w:r>
      <w:r>
        <w:rPr>
          <w:rFonts w:ascii="Times New Roman"/>
          <w:sz w:val="24"/>
        </w:rPr>
      </w:r>
    </w:p>
    <w:p>
      <w:pPr>
        <w:keepNext w:val="true"/>
        <w:keepLines w:val="true"/>
        <w:spacing w:after="0"/>
        <w:jc w:val="left"/>
      </w:pPr>
      <w:r>
        <w:rPr>
          <w:rFonts w:ascii="Times New Roman"/>
          <w:sz w:val="24"/>
        </w:rPr>
        <w:br/>
        <w:br/>
        <w:br/>
      </w:r>
    </w:p>
    <w:p>
      <w:pPr>
        <w:keepNext w:val="false"/>
        <w:keepLines w:val="true"/>
        <w:spacing w:after="0"/>
        <w:jc w:val="left"/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pacing w:after="0"/>
        <w:jc w:val="left"/>
      </w:pPr>
      <w:r>
        <w:rPr>
          <w:rFonts w:ascii="Times New Roman"/>
          <w:b/>
          <w:sz w:val="36"/>
        </w:rPr>
        <w:br w:type="page"/>
        <w:t>Answer Key</w:t>
        <w:br/>
      </w:r>
      <w:r>
        <w:rPr>
          <w:rFonts w:ascii="Times New Roman"/>
          <w:sz w:val="32"/>
        </w:rPr>
        <w:t>Test name: Chapter 01 Test Bank</w:t>
        <w:br/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B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D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C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A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Short Answer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Short Answer</w:t>
      </w:r>
    </w:p>
    <w:p>
      <w:pPr>
        <w:pStyle w:val="ListParagraph"/>
        <w:keepNext w:val="false"/>
        <w:keepLines w:val="true"/>
        <w:numPr>
          <w:ilvl w:val="5"/>
          <w:numId w:val="1"/>
        </w:numPr>
        <w:spacing w:after="0"/>
        <w:jc w:val="left"/>
      </w:pPr>
      <w:r>
        <w:rPr>
          <w:rFonts w:ascii="Times New Roman"/>
          <w:sz w:val="24"/>
        </w:rPr>
        <w:t>Short Answer</w:t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2">
    <w:nsid w:val="1ac290bf"/>
    <w:multiLevelType w:val="multilevel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)"/>
      <w:lvlJc w:val="left"/>
      <w:pPr>
        <w:ind w:left="8280" w:hanging="360"/>
      </w:pPr>
    </w:lvl>
    <w:lvl w:ilvl="2">
      <w:start w:val="1"/>
      <w:numFmt w:val="decimal"/>
      <w:lvlText w:val="%1.%3)"/>
      <w:lvlJc w:val="left"/>
      <w:pPr>
        <w:ind w:left="360" w:hanging="360"/>
      </w:pPr>
    </w:lvl>
    <w:lvl w:ilvl="3">
      <w:start w:val="1"/>
      <w:numFmt w:val="decimal"/>
      <w:lvlText w:val="%1.%3)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720" w:hanging="360"/>
      </w:pPr>
    </w:lvl>
    <w:lvl w:ilvl="5">
      <w:start w:val="1"/>
      <w:numFmt w:val="upperLetter"/>
      <w:lvlText w:val="%6.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upperLetter"/>
      <w:lvlText w:val="%8)"/>
      <w:lvlJc w:val="left"/>
      <w:pPr>
        <w:ind w:left="1080" w:hanging="360"/>
      </w:pPr>
    </w:lvl>
    <w:lvl w:ilvl="8">
      <w:start w:val="1"/>
      <w:numFmt w:val="upperLetter"/>
      <w:lvlText w:val="%9)"/>
      <w:lvlJc w:val="left"/>
      <w:pPr>
        <w:ind w:left="1080" w:hanging="360"/>
      </w:pPr>
    </w:lvl>
  </w:abstractNum>
  <w:abstractNum w:abstractNumId="1">
    <w:nsid w:val="8af2fbe"/>
    <w:multiLevelType w:val="hybridMultilevel"/>
    <w:lvl w:ilvl="0">
      <w:start w:val="1"/>
      <w:numFmt w:val="bullet"/>
      <w:lvlText w:val="⊚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decimal"/>
      <w:lvlText w:val="%6)"/>
      <w:lvlJc w:val="left"/>
      <w:pPr>
        <w:ind w:left="360" w:hanging="360"/>
      </w:pPr>
    </w:lvl>
    <w:lvl w:ilvl="6">
      <w:start w:val="1"/>
      <w:numFmt w:val="decimal"/>
      <w:lvlText w:val="%6.%7)"/>
      <w:lvlJc w:val="left"/>
      <w:pPr>
        <w:ind w:left="360" w:hanging="360"/>
      </w:pPr>
    </w:lvl>
    <w:lvl w:ilvl="7">
      <w:start w:val="1"/>
      <w:numFmt w:val="decimal"/>
      <w:lvlText w:val="%8)"/>
      <w:lvlJc w:val="left"/>
      <w:pPr>
        <w:ind w:left="360" w:hanging="360"/>
      </w:pPr>
    </w:lvl>
    <w:lvl w:ilvl="8">
      <w:start w:val="1"/>
      <w:numFmt w:val="decimal"/>
      <w:lvlText w:val="%8.%9)"/>
      <w:lvlJc w:val="left"/>
      <w:pPr>
        <w:ind w:left="360" w:hanging="360"/>
      </w:pPr>
    </w:lvl>
  </w:abstractNum>
  <w:abstractNum w:abstractNumId="3">
    <w:nsid w:val="3eddd45"/>
    <w:multiLevelType w:val="hybridMultilevel"/>
    <w:lvl w:ilvl="1">
      <w:start w:val="1"/>
      <w:numFmt w:val="bullet"/>
      <w:lvlText w:val=""/>
      <w:lvlJc w:val="left"/>
      <w:pPr>
        <w:ind w:left="720" w:hanging="360"/>
      </w:pPr>
      <w:rPr>
        <w:rFonts w:hint="default" w:ascii="Courier New" w:hAnsi="Courier New"/>
      </w:rPr>
    </w:lvl>
  </w:abstractNum>
  <w:num w:numId="2">
    <w:abstractNumId w:val="2"/>
  </w:num>
  <w:num w:numId="3">
    <w:abstractNumId w:val="3"/>
  </w:num>
  <w:num w:numId="1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