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Rules of tax law do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include Revenue Rulings and Revenue Procedures.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A tax professional need not worry about the relative weight of authority within the various tax law 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In recent years, Congress has been relatively successful in simplifying the Internal Revenue Code</w:t>
            </w:r>
            <w:r>
              <w:rPr>
                <w:rStyle w:val="DefaultParagraphFont"/>
                <w:rFonts w:ascii="Times New Roman" w:eastAsia="Times New Roman" w:hAnsi="Times New Roman" w:cs="Times New Roman"/>
                <w:b w:val="0"/>
                <w:bCs w:val="0"/>
                <w:i/>
                <w:iCs/>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A taxpayer should always minimize their tax liability.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codification of the tax law occurred in 1954.</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This Internal Revenue Code section citation is correct: § 212(1).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Subchapter D refers to the “Corporate Distributions and Adjustments” section of the Internal Revenue Code</w:t>
            </w:r>
            <w:r>
              <w:rPr>
                <w:rStyle w:val="DefaultParagraphFont"/>
                <w:rFonts w:ascii="Times New Roman" w:eastAsia="Times New Roman" w:hAnsi="Times New Roman" w:cs="Times New Roman"/>
                <w:b w:val="0"/>
                <w:bCs w:val="0"/>
                <w:i/>
                <w:iCs/>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In general, Regulations are issued immediately after a statute is enacted.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Temporary Regulations are only published in the </w:t>
            </w:r>
            <w:r>
              <w:rPr>
                <w:rStyle w:val="DefaultParagraphFont"/>
                <w:rFonts w:ascii="Times New Roman" w:eastAsia="Times New Roman" w:hAnsi="Times New Roman" w:cs="Times New Roman"/>
                <w:b w:val="0"/>
                <w:bCs w:val="0"/>
                <w:i/>
                <w:iCs/>
                <w:smallCaps w:val="0"/>
                <w:color w:val="000000"/>
                <w:sz w:val="22"/>
                <w:szCs w:val="22"/>
                <w:bdr w:val="nil"/>
                <w:rtl w:val="0"/>
              </w:rPr>
              <w:t>Internal Revenue Bulletin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 Rulings issued by the National Office of the IRS carry the same legal force and effect as Regulations.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A Revenue Ruling is an administrative source of Federal tax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citation could be a correct citation: Rev. Rul. </w:t>
            </w:r>
            <w:r>
              <w:rPr>
                <w:rStyle w:val="DefaultParagraphFont"/>
                <w:rFonts w:ascii="Times New Roman" w:eastAsia="Times New Roman" w:hAnsi="Times New Roman" w:cs="Times New Roman"/>
                <w:b w:val="0"/>
                <w:bCs w:val="0"/>
                <w:i w:val="0"/>
                <w:iCs w:val="0"/>
                <w:smallCaps w:val="0"/>
                <w:color w:val="000000"/>
                <w:sz w:val="22"/>
                <w:szCs w:val="22"/>
                <w:bdr w:val="nil"/>
                <w:rtl w:val="0"/>
              </w:rPr>
              <w:t>2021-42</w:t>
            </w:r>
            <w:r>
              <w:rPr>
                <w:rStyle w:val="DefaultParagraphFont"/>
                <w:rFonts w:ascii="Times New Roman" w:eastAsia="Times New Roman" w:hAnsi="Times New Roman" w:cs="Times New Roman"/>
                <w:b w:val="0"/>
                <w:bCs w:val="0"/>
                <w:i w:val="0"/>
                <w:iCs w:val="0"/>
                <w:smallCaps w:val="0"/>
                <w:color w:val="000000"/>
                <w:sz w:val="22"/>
                <w:szCs w:val="22"/>
                <w:bdr w:val="nil"/>
                <w:rtl w:val="0"/>
              </w:rPr>
              <w:t>,2021-64 I.R.B. 982</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 Procedures deal with the internal management practices and procedures of the IRS.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Post-1984 letter rulings may be substantial authority for purposes of the accuracy-related penalty in § 6662.</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A letter ruling applies only to the taxpayer who asks for and obtains a letter ruling.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IRS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required to make a letter ruling public.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Determination letters usually involve completed transactions.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Technical Advice Memoranda deal with completed transactions.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Technical Advice Memoranda may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 cited as precedents by taxpayers.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A taxpayer must pay any tax deficiency assessed by the IRS and sue for a refund to bring suit in the U.S. Court of Federal Claims. Only in the Tax Court can jurisdiction be obtained without first paying the assessed tax deficiency.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In a U.S. District Court, a jury can decide both questions of fact and questions of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Three judges will normally hear each U.S. Tax Court case.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A taxpayer can obtain a jury trial in the U.S. Tax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A taxpayer must pay any tax deficiency assessed by the IRS and sue for a refund to bring suit in the U.S. District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Arizona is in the jurisdiction of the Eighth Circuit Court of Appeals.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Texas is in the jurisdiction of the Second Circuit Court of Appeals.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Golsen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rule has been overturned by the U.S. Supreme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The granting of a Writ of Certiorari indicates that at least four members of the Supreme Court believe that an issue is of sufficient importance to be heard by the full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petitioner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refers to the party against whom a suit is brought.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term </w:t>
            </w:r>
            <w:r>
              <w:rPr>
                <w:rStyle w:val="DefaultParagraphFont"/>
                <w:rFonts w:ascii="Times New Roman" w:eastAsia="Times New Roman" w:hAnsi="Times New Roman" w:cs="Times New Roman"/>
                <w:b w:val="0"/>
                <w:bCs w:val="0"/>
                <w:i/>
                <w:iCs/>
                <w:smallCaps w:val="0"/>
                <w:color w:val="000000"/>
                <w:sz w:val="22"/>
                <w:szCs w:val="22"/>
                <w:bdr w:val="nil"/>
                <w:rtl w:val="0"/>
              </w:rPr>
              <w:t>petitioner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a synonym for </w:t>
            </w:r>
            <w:r>
              <w:rPr>
                <w:rStyle w:val="DefaultParagraphFont"/>
                <w:rFonts w:ascii="Times New Roman" w:eastAsia="Times New Roman" w:hAnsi="Times New Roman" w:cs="Times New Roman"/>
                <w:b w:val="0"/>
                <w:bCs w:val="0"/>
                <w:i/>
                <w:iCs/>
                <w:smallCaps w:val="0"/>
                <w:color w:val="000000"/>
                <w:sz w:val="22"/>
                <w:szCs w:val="22"/>
                <w:bdr w:val="nil"/>
                <w:rtl w:val="0"/>
              </w:rPr>
              <w:t>defendant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The U.S. Tax Court meets most often in Washington, D.C.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are 11 geographic U.S. Circuit Court of Appeals.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following citation is correct: </w:t>
            </w:r>
            <w:r>
              <w:rPr>
                <w:rStyle w:val="DefaultParagraphFont"/>
                <w:rFonts w:ascii="Times New Roman" w:eastAsia="Times New Roman" w:hAnsi="Times New Roman" w:cs="Times New Roman"/>
                <w:b w:val="0"/>
                <w:bCs w:val="0"/>
                <w:i/>
                <w:iCs/>
                <w:smallCaps w:val="0"/>
                <w:color w:val="000000"/>
                <w:sz w:val="22"/>
                <w:szCs w:val="22"/>
                <w:bdr w:val="nil"/>
                <w:rtl w:val="0"/>
              </w:rPr>
              <w:t>Larry G. Mitchell</w:t>
            </w:r>
            <w:r>
              <w:rPr>
                <w:rStyle w:val="DefaultParagraphFont"/>
                <w:rFonts w:ascii="Times New Roman" w:eastAsia="Times New Roman" w:hAnsi="Times New Roman" w:cs="Times New Roman"/>
                <w:b w:val="0"/>
                <w:bCs w:val="0"/>
                <w:i w:val="0"/>
                <w:iCs w:val="0"/>
                <w:smallCaps w:val="0"/>
                <w:color w:val="000000"/>
                <w:sz w:val="22"/>
                <w:szCs w:val="22"/>
                <w:bdr w:val="nil"/>
                <w:rtl w:val="0"/>
              </w:rPr>
              <w:t>, 131 T.C. 215 (2008).</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The IRS issues an acquiescence or nonacquiescence only for regular Tax Court decisions.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is a direct conflict between an Internal Revenue Code section adopted in 2017 and a treaty with France (signed in 2016). The Internal Revenue Code section controls.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Index to Federal Tax Articles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(published by Thomson Reuters) is available electronically.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A U.S. District Court is considered the lowest trial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research process should </w:t>
            </w:r>
            <w:r>
              <w:rPr>
                <w:rStyle w:val="DefaultParagraphFont"/>
                <w:rFonts w:ascii="Times New Roman" w:eastAsia="Times New Roman" w:hAnsi="Times New Roman" w:cs="Times New Roman"/>
                <w:b w:val="0"/>
                <w:bCs w:val="0"/>
                <w:i/>
                <w:iCs/>
                <w:smallCaps w:val="0"/>
                <w:color w:val="000000"/>
                <w:sz w:val="22"/>
                <w:szCs w:val="22"/>
                <w:bdr w:val="nil"/>
                <w:rtl w:val="0"/>
              </w:rPr>
              <w:t>always</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begin with a tax service.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Electronic (online) databases are most frequently searched by the keyword approach.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A treasure trove is taxable when sold or exchanged.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A Bluebook is substantial authority for purposes of the accuracy related penalty.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purpose of effective tax planning is to reduce or defer the tax in the current tax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Deferring income to a subsequent year is considered to be tax avoidance.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Tax planning usually involves a completed transaction.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In 2023, the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Regulation section of the CPA exa</w:t>
            </w:r>
            <w:r>
              <w:rPr>
                <w:rStyle w:val="DefaultParagraphFont"/>
                <w:rFonts w:ascii="Times New Roman" w:eastAsia="Times New Roman" w:hAnsi="Times New Roman" w:cs="Times New Roman"/>
                <w:b w:val="0"/>
                <w:bCs w:val="0"/>
                <w:i w:val="0"/>
                <w:iCs w:val="0"/>
                <w:smallCaps w:val="0"/>
                <w:color w:val="000000"/>
                <w:sz w:val="22"/>
                <w:szCs w:val="22"/>
                <w:bdr w:val="nil"/>
                <w:rtl w:val="0"/>
              </w:rPr>
              <w:t>m is approximately 80%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Taxation and 20% Law &amp; Professional Responsibilities.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Tax changes passed as part of the </w:t>
            </w:r>
            <w:r>
              <w:rPr>
                <w:rStyle w:val="DefaultParagraphFont"/>
                <w:rFonts w:ascii="Times New Roman" w:eastAsia="Times New Roman" w:hAnsi="Times New Roman" w:cs="Times New Roman"/>
                <w:b w:val="0"/>
                <w:bCs w:val="0"/>
                <w:i w:val="0"/>
                <w:iCs w:val="0"/>
                <w:smallCaps w:val="0"/>
                <w:color w:val="000000"/>
                <w:sz w:val="22"/>
                <w:szCs w:val="22"/>
                <w:bdr w:val="nil"/>
                <w:rtl w:val="0"/>
              </w:rPr>
              <w:t>Inflation Reduction Act of 2022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became part of the Internal Revenue Code of 1986.</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 tax measures typically originate in the Senate Finance Committee of the U.S. Congress.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Currently, the Internal Revenue Code of 1986 does not contain §§ 308, 309, and 310. This absence means these sections were repealed by Congress.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Before a tax bill can become law, it must be approved (signed) by the President of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Normally, when the Senate version of a tax bill differs from that passed by the House, a Joint Conference Committee drafts a compromise tax bill.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Subchapter C refers to the subchapter in the Internal Revenue Code that deals with partnerships and partners.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 Rulings issued by the National Office of the IRS carry the same legal force and effect as Regulations.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 Rulings are first published in the Internal Revenue Bulletin.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A Temporary Regulation under § 303 of the Code would be cited as follows: Temp. Reg. § 303.</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Internal Revenue Code was first codified in what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1913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1923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1939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1954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Tax bills are handled by which committee in the U.S. House of Representatives?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Taxation Committee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Ways and Means Committee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Finance Committee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Budget Committee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Federal tax legislation generally originates in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Revenue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Senate Finance Committee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House Ways and Means Committee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Senate Floor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Subtitle A of the Internal Revenue Code covers which of the following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Estate and gift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Excise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Employment taxes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In § 212(1), the number (1) stands for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Section number.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Subsection number.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Paragraph designation.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Subparagraph designation.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these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correct citation to the Internal Revenue Code?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Section 211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Section 1222(1)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Section 2(a)(1)(A)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 cites.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 administrative source of tax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Chief Counsel Advice (CCA)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Code § 199A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Counsel Memorandum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sources has the </w:t>
            </w:r>
            <w:r>
              <w:rPr>
                <w:rStyle w:val="DefaultParagraphFont"/>
                <w:rFonts w:ascii="Times New Roman" w:eastAsia="Times New Roman" w:hAnsi="Times New Roman" w:cs="Times New Roman"/>
                <w:b w:val="0"/>
                <w:bCs w:val="0"/>
                <w:i/>
                <w:iCs/>
                <w:smallCaps w:val="0"/>
                <w:color w:val="000000"/>
                <w:sz w:val="22"/>
                <w:szCs w:val="22"/>
                <w:bdr w:val="nil"/>
                <w:rtl w:val="0"/>
              </w:rPr>
              <w:t>highest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 validity?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Ruling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Procedure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Revenue Code section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types of Regulations has the </w:t>
            </w:r>
            <w:r>
              <w:rPr>
                <w:rStyle w:val="DefaultParagraphFont"/>
                <w:rFonts w:ascii="Times New Roman" w:eastAsia="Times New Roman" w:hAnsi="Times New Roman" w:cs="Times New Roman"/>
                <w:b w:val="0"/>
                <w:bCs w:val="0"/>
                <w:i/>
                <w:iCs/>
                <w:smallCaps w:val="0"/>
                <w:color w:val="000000"/>
                <w:sz w:val="22"/>
                <w:szCs w:val="22"/>
                <w:bdr w:val="nil"/>
                <w:rtl w:val="0"/>
              </w:rPr>
              <w:t>highest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 validity?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Temporary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Legislative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Interpretive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Proposed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statement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true with respect to a Regulation that interprets the tax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Issued by the U.S. Congress.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Issued by the U.S. Treasury Department.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Designed to provide an interpretation of the tax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Carries more legal force than a Revenue Ruling.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In addressing the importance of a Regulation, an IRS agent must: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Give equal weight to the Internal Revenue Code and the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Give more weight to the </w:t>
                  </w:r>
                  <w:r>
                    <w:rPr>
                      <w:rStyle w:val="DefaultParagraphFont"/>
                      <w:rFonts w:ascii="Times New Roman" w:eastAsia="Times New Roman" w:hAnsi="Times New Roman" w:cs="Times New Roman"/>
                      <w:b w:val="0"/>
                      <w:bCs w:val="0"/>
                      <w:i w:val="0"/>
                      <w:iCs w:val="0"/>
                      <w:smallCaps w:val="0"/>
                      <w:color w:val="000000"/>
                      <w:sz w:val="22"/>
                      <w:szCs w:val="22"/>
                      <w:bdr w:val="nil"/>
                      <w:rtl w:val="0"/>
                    </w:rPr>
                    <w:t>Internal Revenue </w:t>
                  </w:r>
                  <w:r>
                    <w:rPr>
                      <w:rStyle w:val="DefaultParagraphFont"/>
                      <w:rFonts w:ascii="Times New Roman" w:eastAsia="Times New Roman" w:hAnsi="Times New Roman" w:cs="Times New Roman"/>
                      <w:b w:val="0"/>
                      <w:bCs w:val="0"/>
                      <w:i w:val="0"/>
                      <w:iCs w:val="0"/>
                      <w:smallCaps w:val="0"/>
                      <w:color w:val="000000"/>
                      <w:sz w:val="22"/>
                      <w:szCs w:val="22"/>
                      <w:bdr w:val="nil"/>
                      <w:rtl w:val="0"/>
                    </w:rPr>
                    <w:t>Code rather than to a Regulation.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Give more weight to the Regulation rather than to the </w:t>
                  </w:r>
                  <w:r>
                    <w:rPr>
                      <w:rStyle w:val="DefaultParagraphFont"/>
                      <w:rFonts w:ascii="Times New Roman" w:eastAsia="Times New Roman" w:hAnsi="Times New Roman" w:cs="Times New Roman"/>
                      <w:b w:val="0"/>
                      <w:bCs w:val="0"/>
                      <w:i w:val="0"/>
                      <w:iCs w:val="0"/>
                      <w:smallCaps w:val="0"/>
                      <w:color w:val="000000"/>
                      <w:sz w:val="22"/>
                      <w:szCs w:val="22"/>
                      <w:bdr w:val="nil"/>
                      <w:rtl w:val="0"/>
                    </w:rPr>
                    <w:t>Internal Revenue </w:t>
                  </w:r>
                  <w:r>
                    <w:rPr>
                      <w:rStyle w:val="DefaultParagraphFont"/>
                      <w:rFonts w:ascii="Times New Roman" w:eastAsia="Times New Roman" w:hAnsi="Times New Roman" w:cs="Times New Roman"/>
                      <w:b w:val="0"/>
                      <w:bCs w:val="0"/>
                      <w:i w:val="0"/>
                      <w:iCs w:val="0"/>
                      <w:smallCaps w:val="0"/>
                      <w:color w:val="000000"/>
                      <w:sz w:val="22"/>
                      <w:szCs w:val="22"/>
                      <w:bdr w:val="nil"/>
                      <w:rtl w:val="0"/>
                    </w:rPr>
                    <w:t>Code.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Give less weight to the </w:t>
                  </w:r>
                  <w:r>
                    <w:rPr>
                      <w:rStyle w:val="DefaultParagraphFont"/>
                      <w:rFonts w:ascii="Times New Roman" w:eastAsia="Times New Roman" w:hAnsi="Times New Roman" w:cs="Times New Roman"/>
                      <w:b w:val="0"/>
                      <w:bCs w:val="0"/>
                      <w:i w:val="0"/>
                      <w:iCs w:val="0"/>
                      <w:smallCaps w:val="0"/>
                      <w:color w:val="000000"/>
                      <w:sz w:val="22"/>
                      <w:szCs w:val="22"/>
                      <w:bdr w:val="nil"/>
                      <w:rtl w:val="0"/>
                    </w:rPr>
                    <w:t>Internal Revenue </w:t>
                  </w:r>
                  <w:r>
                    <w:rPr>
                      <w:rStyle w:val="DefaultParagraphFont"/>
                      <w:rFonts w:ascii="Times New Roman" w:eastAsia="Times New Roman" w:hAnsi="Times New Roman" w:cs="Times New Roman"/>
                      <w:b w:val="0"/>
                      <w:bCs w:val="0"/>
                      <w:i w:val="0"/>
                      <w:iCs w:val="0"/>
                      <w:smallCaps w:val="0"/>
                      <w:color w:val="000000"/>
                      <w:sz w:val="22"/>
                      <w:szCs w:val="22"/>
                      <w:bdr w:val="nil"/>
                      <w:rtl w:val="0"/>
                    </w:rPr>
                    <w:t>Code rather than to a Regulation.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item may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 cited as a precedent?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Temporary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Technical Advice Memoranda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District Court decision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What statement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true with respect to Temporary Regulations?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May not be cited as precedent.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Issued with Proposed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Automatically expire within three years after the date of issuance.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Found in the </w:t>
                  </w:r>
                  <w:r>
                    <w:rPr>
                      <w:rStyle w:val="DefaultParagraphFont"/>
                      <w:rFonts w:ascii="Times New Roman" w:eastAsia="Times New Roman" w:hAnsi="Times New Roman" w:cs="Times New Roman"/>
                      <w:b w:val="0"/>
                      <w:bCs w:val="0"/>
                      <w:i/>
                      <w:iCs/>
                      <w:smallCaps w:val="0"/>
                      <w:color w:val="000000"/>
                      <w:sz w:val="22"/>
                      <w:szCs w:val="22"/>
                      <w:bdr w:val="nil"/>
                      <w:rtl w:val="0"/>
                    </w:rPr>
                    <w:t>Federal Register.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administrative release deals with a proposed transaction rather than a completed transaction?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Letter Ruling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Technical Advice Memorandum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Determination Letter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Field Service Advice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indicates that a decision has precedential value for future cases?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Stare decisis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Golsen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doctrine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En banc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Reenactment doctrine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A taxpayer who loses in a U.S. District Court may appeal to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Supreme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Tax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Court of Federal Claims.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Appropriate U.S. Circuit Court of Appeals.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A taxpayer who decides not to pay a tax deficiency,  must litigate in which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Appropriate U.S. Circuit Court of Appeals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District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Tax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Court of Federal Claims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A jury trial is available in the following trial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Tax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Court of Federal Claims.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District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Circuit Court of Appeals.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taxpayer may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appeal a case from which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District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Circuit Court of Appeals.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Court of Federal Claims.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Small Case Division of the U.S. Tax Court.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IRS will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acquiesce to the following tax decisions: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District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Tax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Court of Federal Claims.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Small Case Division of the U.S. Tax Court.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publisher offers the </w:t>
            </w:r>
            <w:r>
              <w:rPr>
                <w:rStyle w:val="DefaultParagraphFont"/>
                <w:rFonts w:ascii="Times New Roman" w:eastAsia="Times New Roman" w:hAnsi="Times New Roman" w:cs="Times New Roman"/>
                <w:b w:val="0"/>
                <w:bCs w:val="0"/>
                <w:i/>
                <w:iCs/>
                <w:smallCaps w:val="0"/>
                <w:color w:val="000000"/>
                <w:sz w:val="22"/>
                <w:szCs w:val="22"/>
                <w:bdr w:val="nil"/>
                <w:rtl w:val="0"/>
              </w:rPr>
              <w:t>Standard Federal Tax Reporter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Thomson Reuters </w:t>
                  </w:r>
                  <w:r>
                    <w:rPr>
                      <w:rStyle w:val="DefaultParagraphFont"/>
                      <w:rFonts w:ascii="Times New Roman" w:eastAsia="Times New Roman" w:hAnsi="Times New Roman" w:cs="Times New Roman"/>
                      <w:b w:val="0"/>
                      <w:bCs w:val="0"/>
                      <w:i/>
                      <w:iCs/>
                      <w:smallCaps w:val="0"/>
                      <w:color w:val="000000"/>
                      <w:sz w:val="22"/>
                      <w:szCs w:val="22"/>
                      <w:bdr w:val="nil"/>
                      <w:rtl w:val="0"/>
                    </w:rPr>
                    <w:t>Checkpoint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Research Institute of America)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Wolters Kluwer (Commerce Clearing House)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Bloomberg BNA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LexisNexis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is presently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commercial tax service?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CCH Intelliconnect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Federal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Thomson Reuters Checkpoint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Tax Management Portfolios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publisher offers the </w:t>
            </w:r>
            <w:r>
              <w:rPr>
                <w:rStyle w:val="DefaultParagraphFont"/>
                <w:rFonts w:ascii="Times New Roman" w:eastAsia="Times New Roman" w:hAnsi="Times New Roman" w:cs="Times New Roman"/>
                <w:b w:val="0"/>
                <w:bCs w:val="0"/>
                <w:i/>
                <w:iCs/>
                <w:smallCaps w:val="0"/>
                <w:color w:val="000000"/>
                <w:sz w:val="22"/>
                <w:szCs w:val="22"/>
                <w:bdr w:val="nil"/>
                <w:rtl w:val="0"/>
              </w:rPr>
              <w:t>United States Tax Reporter?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Thomson Reuters </w:t>
                  </w:r>
                  <w:r>
                    <w:rPr>
                      <w:rStyle w:val="DefaultParagraphFont"/>
                      <w:rFonts w:ascii="Times New Roman" w:eastAsia="Times New Roman" w:hAnsi="Times New Roman" w:cs="Times New Roman"/>
                      <w:b w:val="0"/>
                      <w:bCs w:val="0"/>
                      <w:i/>
                      <w:iCs/>
                      <w:smallCaps w:val="0"/>
                      <w:color w:val="000000"/>
                      <w:sz w:val="22"/>
                      <w:szCs w:val="22"/>
                      <w:bdr w:val="nil"/>
                      <w:rtl w:val="0"/>
                    </w:rPr>
                    <w:t>Checkpoint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Research Institute of America)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Wolters Kluwer (Commerce Clearing House)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LexisNexis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Analysts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When searching on an electronic (online) tax service, which approach is more frequently used?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Revenue Code section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Keyword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Table of contents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is not a judicial citation?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CCA 200909002.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T.C. Memo 2008-289.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TCM 32 (1979).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592 F.Supp.18.</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lowest authority in the Federal tax law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Ruling.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Proposed Regulation.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Interpretive Regulation.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Procedure.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tax-related website probably gives the best policy-orientation results?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taxalmanac.org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irs.gov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EY.com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taxanaly</w:t>
                  </w:r>
                  <w:r>
                    <w:rPr>
                      <w:rStyle w:val="DefaultParagraphFont"/>
                      <w:rFonts w:ascii="Times New Roman" w:eastAsia="Times New Roman" w:hAnsi="Times New Roman" w:cs="Times New Roman"/>
                      <w:b w:val="0"/>
                      <w:bCs w:val="0"/>
                      <w:i w:val="0"/>
                      <w:iCs w:val="0"/>
                      <w:smallCaps w:val="0"/>
                      <w:color w:val="000000"/>
                      <w:sz w:val="22"/>
                      <w:szCs w:val="22"/>
                      <w:bdr w:val="nil"/>
                      <w:rtl w:val="0"/>
                    </w:rPr>
                    <w:t>sts.com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court decision would probably carry more weight?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Regular U.S. Tax Court decision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Reviewed U.S. Tax Court decision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District Court decision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Tax Court </w:t>
                  </w:r>
                  <w:r>
                    <w:rPr>
                      <w:rStyle w:val="DefaultParagraphFont"/>
                      <w:rFonts w:ascii="Times New Roman" w:eastAsia="Times New Roman" w:hAnsi="Times New Roman" w:cs="Times New Roman"/>
                      <w:b w:val="0"/>
                      <w:bCs w:val="0"/>
                      <w:i w:val="0"/>
                      <w:iCs w:val="0"/>
                      <w:smallCaps w:val="0"/>
                      <w:color w:val="000000"/>
                      <w:sz w:val="22"/>
                      <w:szCs w:val="22"/>
                      <w:bdr w:val="nil"/>
                      <w:rtl w:val="0"/>
                    </w:rPr>
                    <w:t>Memorandum decis</w:t>
                  </w:r>
                  <w:r>
                    <w:rPr>
                      <w:rStyle w:val="DefaultParagraphFont"/>
                      <w:rFonts w:ascii="Times New Roman" w:eastAsia="Times New Roman" w:hAnsi="Times New Roman" w:cs="Times New Roman"/>
                      <w:b w:val="0"/>
                      <w:bCs w:val="0"/>
                      <w:i w:val="0"/>
                      <w:iCs w:val="0"/>
                      <w:smallCaps w:val="0"/>
                      <w:color w:val="000000"/>
                      <w:sz w:val="22"/>
                      <w:szCs w:val="22"/>
                      <w:bdr w:val="nil"/>
                      <w:rtl w:val="0"/>
                    </w:rPr>
                    <w: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Regulations have the force and effect of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Procedural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Finalized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Legislative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Interpretive Regulations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items tell taxpayers the IRS’s reaction to certain court decisions?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Procedures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Rulings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Actions on Decisions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primary source of tax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Notice 89-99, 1989-2 C.B. 422.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Estate of Harry Holmes v. Comm.</w:t>
                  </w:r>
                  <w:r>
                    <w:rPr>
                      <w:rStyle w:val="DefaultParagraphFont"/>
                      <w:rFonts w:ascii="Times New Roman" w:eastAsia="Times New Roman" w:hAnsi="Times New Roman" w:cs="Times New Roman"/>
                      <w:b w:val="0"/>
                      <w:bCs w:val="0"/>
                      <w:i w:val="0"/>
                      <w:iCs w:val="0"/>
                      <w:smallCaps w:val="0"/>
                      <w:color w:val="000000"/>
                      <w:sz w:val="22"/>
                      <w:szCs w:val="22"/>
                      <w:bdr w:val="nil"/>
                      <w:rtl w:val="0"/>
                    </w:rPr>
                    <w:t>, 326 U.S. 480 (1946).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 Rul. 79-353, 1979-2 C.B. 325.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 Reg. § 1.752-4T(f).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For 2023, which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statement is </w:t>
            </w:r>
            <w:r>
              <w:rPr>
                <w:rStyle w:val="DefaultParagraphFont"/>
                <w:rFonts w:ascii="Times New Roman" w:eastAsia="Times New Roman" w:hAnsi="Times New Roman" w:cs="Times New Roman"/>
                <w:b w:val="0"/>
                <w:bCs w:val="0"/>
                <w:i/>
                <w:iCs/>
                <w:smallCaps w:val="0"/>
                <w:color w:val="000000"/>
                <w:sz w:val="22"/>
                <w:szCs w:val="22"/>
                <w:bdr w:val="nil"/>
                <w:rtl w:val="0"/>
              </w:rPr>
              <w:t>incorrect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with respect to taxation on the CPA exam?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CPA exam now has only four parts.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are no longer task-based simulations on the exam.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candidate may not go back after exiting a testlet.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Simulations include a four-function pop-up calculator.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court decisions carries more weight?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District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Second Circuit Court of Appeals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Tax Court decision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Small Cases Division of U.S. Tax Court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company does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publish citators for tax purposes?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John Wiley &amp; Sons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Wolters Kluwer (Commerce Clearing House)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Thomson Reuters (RIA)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Westlaw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Interpret the following citation: 64-1 USTC ¶9618, aff’d in 344 F.2d 966.</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U.S. Tax Court Small Cases Division decision that was affirmed on appeal.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U.S. Tax Court decision that was affirmed on appeal.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U.S. District Court decision that was affirmed on appeal.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U.S. Circuit Court of Appeals decision that was affirmed on appeal.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citation refers to a Second Circuit Court of Appeals decision?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T.C. 1018.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159 F.2d 848 (CA-2, 1947).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354 F. Supp. 1003 (D.Ct. GA. 1972).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914 F.2d 396 (CA-3, 1990).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citation refers to a U.S. Tax Court decision?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Apollo Computer, Inc. v. U.S., 95-1 (USTC ¶50,015 (Fed.Cl., 1994)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Westreco, Inc., T.C. Memo. 1992-561 (1992).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Bausch &amp; Lomb, Inc. v. Comm., 933 F.2d 1084 (CA-2, 1991).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Portland Manufacturing Co. v. Comm., 35 AFTR2d 1439 (CA-9, 1975).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these citations appeared after a trial court decision, which one means that the decision was overruled?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Aff’d 633 F.2d 512 (CA-7, 1980).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Rem’d 399 F.2d 800 (CA-5, 1968).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Aff’d 914 F.2d 396 (CA-3, 1990).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Rev’d 935 F.2d 203 (CA-5, 1991).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Memorandum decision of the U.S. Tax Court could be cited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T.C. Memo. 1990-650.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68-1 USTC ¶9200.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AFTR.2d 456.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is a primary source of tax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Serverino R. Nico, Jr., 67 T.C. 647 (1977).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Article by a Federal judge in Tax Notes.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IRS publication.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Written determination letter.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about a nonacquiescence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4"/>
              <w:gridCol w:w="80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nonacquiescence is issued in the Federal Registrar.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Nonacquiescences are published only for certain regular decisions of the U.S. Tax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nonacquiescence is published in the Internal Revenue Bulletin.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IRS does not issue nonacquiescences to adverse decisions that are not appealed.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Treasury Department Regulations?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Regulations are issued by the U.S. Treasury Department under authority granted by Congress. Interpretive by nature, they provide taxpayers with considerable guidance on the meaning and application of the Internal Revenue Code. Regulations may be issued in </w:t>
                  </w:r>
                  <w:r>
                    <w:rPr>
                      <w:rStyle w:val="DefaultParagraphFont"/>
                      <w:rFonts w:ascii="Times New Roman" w:eastAsia="Times New Roman" w:hAnsi="Times New Roman" w:cs="Times New Roman"/>
                      <w:b w:val="0"/>
                      <w:bCs w:val="0"/>
                      <w:i/>
                      <w:iCs/>
                      <w:smallCaps w:val="0"/>
                      <w:color w:val="000000"/>
                      <w:sz w:val="22"/>
                      <w:szCs w:val="22"/>
                      <w:bdr w:val="nil"/>
                      <w:rtl w:val="0"/>
                    </w:rPr>
                    <w:t>proposed, temporary,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or </w:t>
                  </w:r>
                  <w:r>
                    <w:rPr>
                      <w:rStyle w:val="DefaultParagraphFont"/>
                      <w:rFonts w:ascii="Times New Roman" w:eastAsia="Times New Roman" w:hAnsi="Times New Roman" w:cs="Times New Roman"/>
                      <w:b w:val="0"/>
                      <w:bCs w:val="0"/>
                      <w:i/>
                      <w:iCs/>
                      <w:smallCaps w:val="0"/>
                      <w:color w:val="000000"/>
                      <w:sz w:val="22"/>
                      <w:szCs w:val="22"/>
                      <w:bdr w:val="nil"/>
                      <w:rtl w:val="0"/>
                    </w:rPr>
                    <w:t>final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form. Regulations carry considerable authority as the official interpretation of tax statutes. They are an important factor to consider in complying with the tax law. Courts generally ignore Proposed Regulations.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 Revenue Rulings with Revenue Procedures.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Rulings are official pronouncements of the National Office of the IRS. They typically provide one or more examples of how the IRS would apply a law to specific fact situations. Like Regulations, Revenue Rulings are designed to provide interpretation of the tax law. However, they do not carry the same legal force and effect as Regulations and usually deal with more restricted problems. Regulations are approved by the Secretary of the Treasury, whereas Revenue Rulings generally are not.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Procedures are issued in the same manner as Revenue Rulings, but deal with the internal management practices and procedures of the IRS. Familiarity with these procedures can increase taxpayer compliance and help the IRS administer the tax laws more efficiently. A taxpayer’s failure to follow a Revenue Procedure can result in unnecessary delay or, in a discretionary situation, can cause the IRS to decline to act on behalf of the taxpayer.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How can Congressional Committee Reports be used by a tax researcher?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Congressional Committee Reports often explain the provisions of proposed legislation and are a valuable source of ascertaining the intent of Congress. The intent of Congress is the key to interpreting new legislation by taxpayers, especially before Regulations are published.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Technical Advice Memorandum?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National Office of the IRS releases Technical Advice Memoranda (TAMs) weekly. TAMs resemble letter rulings in that they give the IRS’s determination of an issue. However, they differ in several respects. Letter rulings deal with proposed transactions and are issued to taxpayers at their request. In contrast, TAMs deal with completed transactions. Furthermore, TAMs arise from questions raised by IRS personnel during audits and are issued by the National Office of the IRS to its field personnel. TAMs are often requested for questions relating to exempt organizations and employee plans. TAMs are not officially published and may not be cited or used as precedent.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advantages and disadvantages of the Small Cases Division of the U.S. Tax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 appeal from the Small Cases Division. The jurisdiction of the Small Cases Division is limited to cases involving amounts of $50,000 or less. The proceedings of the Small Cases Division are informal (e.g., no necessity for the taxpayer to be represented by a lawyer or other tax adviser). Often, special trial judges rather than Tax Court judges preside over these proceedings. The decisions of the Small Cases Division are not precedents for any other court decision and are not reviewable by any higher court. Proceedings can be more timely and less expensive in the Small Cases Division. Some of these cases can now be found on the U.S. Tax Court Internet Website.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Distinguish between the jurisdiction of the U.S. Tax Court and a U.S. District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U.S. Tax Court hears only tax cases and is the most popular tax forum. The U.S. District Court hears a wide variety of nontax cases, including drug crimes and other Federal violations, as well as tax cases. Some Tax Court justices have been appointed from IRS or Treasury Department positions. For these reasons, some people suggest that the U.S. Tax Court has more expertise in tax matters.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 treaties fit within tax 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U.S signs certain tax treaties (sometimes called tax conventions) with foreign countries to render mutual assistance in tax enforcement and to avoid double taxation. Tax legislation enacted in 1988 provided that neither a tax law nor a tax treaty takes general precedence. Thus, when there is a direct conflict with the Internal Revenue Code and a treaty, the most recent item will take precedence. A taxpayer must disclose on the tax return any position where a treaty overrides a tax law. There is a $1,000 penalty per failure to disclose for individuals and a $10,000 per failure to disclose penalty for corporations.</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02: Working With the Tax Law</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02: Working With the Tax Law</dc:title>
  <dc:creator>John Namale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GE2TONZXHE4TIMRV</vt:lpwstr>
  </property>
</Properties>
</file>