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an administrative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2021-42</w:t>
            </w:r>
            <w:r>
              <w:rPr>
                <w:rStyle w:val="DefaultParagraphFont"/>
                <w:rFonts w:ascii="Times New Roman" w:eastAsia="Times New Roman" w:hAnsi="Times New Roman" w:cs="Times New Roman"/>
                <w:b w:val="0"/>
                <w:bCs w:val="0"/>
                <w:i w:val="0"/>
                <w:iCs w:val="0"/>
                <w:smallCaps w:val="0"/>
                <w:color w:val="000000"/>
                <w:sz w:val="22"/>
                <w:szCs w:val="22"/>
                <w:bdr w:val="nil"/>
                <w:rtl w:val="0"/>
              </w:rPr>
              <w:t>, 2021-64 I.R.B. 982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2017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U.S. Tax Court will hear only those cases involving amounts of $100,000 or 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redesigned 2024 CPA exam, Business Law is allocated 15%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of the REG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changes passed as part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Reduction Act of 2022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a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Counsel Advice (CCA)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w:t>
            </w: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decides not to pay a tax deficiency, must litigate in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Thomson Reuters </w:t>
                  </w:r>
                  <w:r>
                    <w:rPr>
                      <w:rStyle w:val="DefaultParagraphFont"/>
                      <w:rFonts w:ascii="Times New Roman" w:eastAsia="Times New Roman" w:hAnsi="Times New Roman" w:cs="Times New Roman"/>
                      <w:b w:val="0"/>
                      <w:bCs w:val="0"/>
                      <w:i/>
                      <w:iCs/>
                      <w:smallCaps w:val="0"/>
                      <w:color w:val="000000"/>
                      <w:sz w:val="22"/>
                      <w:szCs w:val="22"/>
                      <w:bdr w:val="nil"/>
                      <w:rtl w:val="0"/>
                    </w:rPr>
                    <w:t>Checkpoint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 BNA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commercial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CCH Intelliconnect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Thomson Reuters Checkpoint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Thomson Reuters </w:t>
                  </w:r>
                  <w:r>
                    <w:rPr>
                      <w:rStyle w:val="DefaultParagraphFont"/>
                      <w:rFonts w:ascii="Times New Roman" w:eastAsia="Times New Roman" w:hAnsi="Times New Roman" w:cs="Times New Roman"/>
                      <w:b w:val="0"/>
                      <w:bCs w:val="0"/>
                      <w:i/>
                      <w:iCs/>
                      <w:smallCaps w:val="0"/>
                      <w:color w:val="000000"/>
                      <w:sz w:val="22"/>
                      <w:szCs w:val="22"/>
                      <w:bdr w:val="nil"/>
                      <w:rtl w:val="0"/>
                    </w:rPr>
                    <w:t>Checkpoint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statements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 it relates to the redesigned 2024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redesigned 2024 CPA exam now has three Core sections and three Discipline sections.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candidate </w:t>
                  </w:r>
                  <w:r>
                    <w:rPr>
                      <w:rStyle w:val="DefaultParagraphFont"/>
                      <w:rFonts w:ascii="Times New Roman" w:eastAsia="Times New Roman" w:hAnsi="Times New Roman" w:cs="Times New Roman"/>
                      <w:b w:val="0"/>
                      <w:bCs w:val="0"/>
                      <w:i w:val="0"/>
                      <w:iCs w:val="0"/>
                      <w:smallCaps w:val="0"/>
                      <w:color w:val="000000"/>
                      <w:sz w:val="22"/>
                      <w:szCs w:val="22"/>
                      <w:bdr w:val="nil"/>
                      <w:rtl w:val="0"/>
                    </w:rPr>
                    <w:t>must select a Discipline section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previous BEC section material has been spread over other sections.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Working With the Tax Law</dc:title>
  <dc:creator>Giorgio  Gotti</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GE2TONZXGQZDCMRQ</vt:lpwstr>
  </property>
</Properties>
</file>