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A tax meets the standard of sufficiency if it is easy for people to pay the tax.</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federal government is not required to pay interest on the national debt.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static forecast of the revenue effect of a tax rate change assumes that the tax base does not change.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dynamic forecast of the revenue effect of a tax rate change assumes that the tax base does not change.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federal Social Security tax burden on employees has not increased since 1990 because the tax rate has not increased since that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State H increases its sales tax rate by 1%, its sales tax revenue must also increase by 1%.</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city of Berne recently enacted a 10% tax on the price of a subway ticket. Consequently, Mrs. Lane now walks to work instead of taking the subway. This behavior illustrates the substitution effect of a tax increase.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P recently increased its income tax rate. A taxpayer who reacts to the increase by working harder to earn more income is demonstrating the income effect of the rate increase.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supply-side economic theory, a decrease in tax rates for high-income individuals could actually cause an increase in tax revenue.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Supply-side economic theory holds that people who benefit from a tax rate reduction will spend their tax windfall on consumption goods.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State use taxes are more convenient for individual consumers than state sales taxes.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Internal Revenue Service's cost of collecting $100 of tax revenue is about $3.</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convenient tax has low compliance costs for taxpayers and low collection and enforcement costs for the government.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the classical concept of efficiency, an efficient tax should be neutral in its effect on free market allocations of economic resources.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the Keynesian concept of efficiency, an efficient tax should be neutral in its effect on free market allocations of economic resources.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tax meets the standard of efficiency if it generates enough revenue to pay for the public goods and services provided by the government.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provision in the tax law designed to encourage a specific economic behavior is a tax preference.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tax should result in either horizontal or vertical equity across taxpayers.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Changes in the tax law intended to make the measurement of taxable income more precise usually make the tax law less complex.</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Vertical equity focuses on measurement of the tax base, and horizontal equity focuses on the tax rate structure.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systems with regressive rate structures result in a proportionally heavier tax burden on persons with smaller tax bases.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progressive rate structure and a proportionate rate structure both result in vertical equity across taxpayers.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U.S. individual income tax has always used a progressive rate structure.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declining marginal utility of income across individuals can be measured empirically.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liability divided by taxable income equals marginal tax rate.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 tax has a proportionate rate structure, a taxpayer's marginal rate and average rate are equal.</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 tax has a progressive rate structure, a taxpayer's average rate is greater than her marginal rate.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theory of distributive justice is a rationale for a progressive income tax system.</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Individuals who believe that a tax system is fair are less likely to cheat on their taxes than individuals who believe that the system is unfair.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Many taxpayers believe the income tax system is unfair because it is so complicated.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Government officials of Country Z estimate that next year's public programs will cost $19 million but that tax revenues will be only $15 million. The officials could avoid a deficit next year by adopting which of the following fiscal strategies?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 the cost of public programs by $4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taxes by $4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Borrow $4 million by issuing new government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strategies will avoid a deficit.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Government officials of Country Z estimate that next year's public programs will cost $19 million but that tax revenues will be only $15 million.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Z's tax system is 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Z's government is engaging in deficit spending.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Country Z must borrow $4 million to pay for its public programs, its national debt will increase by $4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Z's government could balance its budget by eliminating a program that costs $4 million.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Government J decides that it must increase its tax revenue. Which of the strategies could result in more revenue?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the rate of an existing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Expand the base of an existing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Enact a tax on a new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strategies could result in more revenue for Government J.</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government of Nation C operated at a $32 billion deficit this year. The deficit suggests that Nation C's tax system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Inefficient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Unfair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Inconvenient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city of Belleview operated at an $865,000 surplus this year. The surplus suggests that the municipal tax system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the federal Social Security tax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burden increases annually because the rate generally increases annually.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burden increases annually because the base generally increases annually.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rate and the base generally increase annually.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Social Security tax burden has not increased since 1990.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static forecast of the incremental revenue from a tax rate increase presumes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not change because of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increase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decrease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rate and the tax base are correlated.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dynamic forecast of the incremental revenue from a tax rate increase presumes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will not change their behavior because of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increase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base will decrease by the same proportion as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 rate and the tax base are correlated.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Jurisdiction F levies a 10% excise tax on the purchase of golf carts. The annual revenue from this tax averages $800,000 (10% * $8 million average annual golf cart purchases). Jurisdiction F is considering raising the tax rate to 12%.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increase will increase revenue by $160,000.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Based on a dynamic forecast, the rate increase will increase revenue by $160,000.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Based on a static forecast, the rate increase will increase revenue by $160,000.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Last year, Government G levied a 35% tax on individual income, and Mr. Slate paid $35,000 tax on $100,000 income. This year, the government increased the tax rate to 40%.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Based on a static forecast, government G should collect $5,000 additional tax from Mr. Slate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Slate took a second job to maintain his after-tax disposable income, this behavior illustrates a substitution effect of the rate increase.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Slate took a second job to maintain his after-tax disposable income, government G should collect more than $5,000 additional tax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Slate sold an income-generating investment and used the money for personal consumption, this behavior illustrates a substitution effect of the rate increase.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substitution effect of an income tax rate increase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substitution effect is theoretically stronger for high-income taxpayers than for low-income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substitution effect is theoretically stronger for a family's secondary wage earner than for the family's primary wage earner.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substitution effect is theoretically stronger for self-employed individuals who control their own time than for employees whose work schedules are controlled by their employers.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income effect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effect is theoretically stronger for low-income taxpayers than for high-income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effect is theoretically stronger for a family's secondary wage earner than for the family's primary wage earner.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effect motivates individuals to find ways to increase their before-tax income.</w:t>
      </w:r>
      <w:r>
        <w:rPr>
          <w:rFonts w:ascii="Times New Roman"/>
          <w:sz w:val="24"/>
        </w:rPr>
      </w:r>
    </w:p>
    <w:p>
      <w:pPr>
        <w:pStyle w:val="ListParagraph"/>
        <w:keepNext w:val="true"/>
        <w:keepLines w:val="true"/>
        <w:numPr>
          <w:ilvl w:val="7"/>
          <w:numId w:val="2"/>
        </w:numPr>
        <w:spacing w:after="0"/>
        <w:jc w:val="left"/>
      </w:pPr>
      <w:r>
        <w:rPr>
          <w:rFonts w:ascii="Times New Roman"/>
          <w:sz w:val="24"/>
        </w:rPr>
        <w:t>Both the income effect is theoretically stronger for low-income taxpayers than for high-income taxpayers and the income effect motivates individuals to find ways to increase their before-tax income are true.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income and substitution effects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and substitution effects are contradictory behavioral reactions.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From the government's perspective, the substitution effect is more desirable than the income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Faith in the income effect is the foundation for supply-side economic theory.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Dynamic forecasts of incremental tax revenues must consider the potential income effect but not the potential substitution effect of a rate increase.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Supply-side economic theory: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Predicts that a decrease in the highest income tax rates will cause an increase in government revenues.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inconsistent with the substitution effect.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Was a clear failure following the Reagan administration tax cuts of the 1980s.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Predicts that taxpayers will save their tax windfall from a rate cut rather than spend or investment the windfall.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describes a tax that meets the standard of convenience?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that the government can administer without excessive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that is easy for taxpayers to compute and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that minimizes the opportunity for noncompliance.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describe a convenient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taxes is most convenient for individuals (purchasers) to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income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Real property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regarding a convenient tax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From the government's viewpoint, a good tax should be convenient to administer.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From the taxpayer's viewpoint, a good tax should be convenient to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convenient tax should have a method of collection that offers maximum opportunity for noncompliance.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convenient tax should permit taxpayers to compute their tax with reasonable certainty without incurring undue costs.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does not describe the classical standard of tax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is a neutral factor in a free market economy.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does not change taxpayer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full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favors a laissez-faire economy policy.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statement that "an old tax is a good tax" means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Changes in the tax law create uncertainty in the business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Changes in the tax law disrupt traditional planning strategies.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Changes in the tax law increase the compliance burden on businesses.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city of Hartwell spends about $3 million annually on snow removal. The city is considering amending its real property tax law to allow homeowners to offset the cost of private snow removal against their annual property tax liability. This amendment would affect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Fairness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Convenience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does not describe the Keynesian standard of tax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economic growth.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full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efficient tax encourages price-level stability.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describe the Keynesian standard of tax efficiency.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Government L levies a 4% excise tax on restaurant meals. It is considering reducing the rate to 2% on meals served in restaurants that ban cigarette and cigar smoking and to increase the rate to 5% in restaurants that allow smoking.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change would improve the neutrality of the excise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change would improve the convenience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rate change is intended to affect social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rate change would improve the convenience of the tax and the rate change is intended to affect social behavior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the state of California plans to amend its personal income tax laws to allow parents to reduce their tax by the cost of infant car seats.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creates a tax preference for parents who purchase infant car seats.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change social behavior.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increases the neutrality of the tax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amendment creates a tax preference for parents who purchase infant car seats and is also intended to change social behavior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tax preferences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increase the complexity of the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raise additional revenue for the government.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are government subsidies for targeted taxpayer activities.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do not improve the accurate measurement of the tax base.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tax preferences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annual revenue loss from federal tax preferences is quantified in the Tax Expenditures Budget.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increase the fairness of the tax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simplify the tax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preferences make the tax law more neutral across taxpayers.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horizontal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 focuses on a rational and impartial measurement of the tax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 focuses on the measurement of taxpayers' ability to pay.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persons with equal ability to pay a tax owe an equal amount of tax, the tax is horizontally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federal income tax law allows individuals whose property is destroyed by a natural disaster such as a fire or hurricane to reduce their taxable income by the amount of their financial loss. This rule is intended to improve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Convenience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Vertical equity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sales tax laws of many states exempt the purchase of groceries and prescription drugs from tax. Such exemptions are intended to improve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Convenience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Neutrality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vertical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Vertical equity focuses on a fair rate structure instead of a fair measurement of the tax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persons with greater ability to pay owe more tax than persons with lesser ability to pay, the tax is vertically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with a single percentage rate is not vertically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42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47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42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47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42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47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42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478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schedule provides no information as to whether Jurisdiction M's tax is horizontally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Jurisdiction M's tax is vertically equitable.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Jurisdiction M's tax is vertically equitable only for individuals with $50,000 or less taxable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schedule provides no information as to whether Jurisdiction M's tax is horizontally equitable" and "Jurisdiction M's tax is vertically equitable"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a regressive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rate structure cannot result in vertical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 rates decrease as the tax base increases.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rate structure places a proportionally heavier tax burden on taxpayers with smaller tax bases than persons with greater tax bases.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Vervet County levies a real property tax based on the following schedule.</w:t>
      </w:r>
      <w:r>
        <w:rPr>
          <w:rFonts w:ascii="Times New Roman"/>
          <w:sz w:val="24"/>
        </w:rPr>
      </w:r>
    </w:p>
    <w:tbl>
      <w:tblPr>
        <w:jc w:val="left"/>
        <w:tblInd w:w="360" w:type="dxa"/>
        <w:tblLayout w:type="autofit"/>
      </w:tblPr>
      <w:tr>
        <w:trPr>
          <w:trHeight w:val="60" w:hRule="atLeast"/>
          <w:cantSplit w:val="true"/>
        </w:trPr>
        <w:tc>
          <w:tcPr>
            <w:tcW w:w="2233"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Rate</w:t>
            </w:r>
          </w:p>
        </w:tc>
        <w:tc>
          <w:tcPr>
            <w:tcW w:w="5167"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Assessed value</w:t>
            </w:r>
          </w:p>
        </w:tc>
      </w:tr>
      <w:tr>
        <w:trPr>
          <w:trHeight w:val="60" w:hRule="atLeast"/>
          <w:cantSplit w:val="true"/>
        </w:trPr>
        <w:tc>
          <w:tcPr>
            <w:tcW w:w="2233"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3%</w:t>
            </w:r>
          </w:p>
        </w:tc>
        <w:tc>
          <w:tcPr>
            <w:tcW w:w="5167"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$-0- to $250,000</w:t>
            </w:r>
          </w:p>
        </w:tc>
      </w:tr>
      <w:tr>
        <w:trPr>
          <w:trHeight w:val="60" w:hRule="atLeast"/>
          <w:cantSplit w:val="true"/>
        </w:trPr>
        <w:tc>
          <w:tcPr>
            <w:tcW w:w="2233"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+ 1%</w:t>
            </w:r>
          </w:p>
        </w:tc>
        <w:tc>
          <w:tcPr>
            <w:tcW w:w="5167"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$250,001 and above</w:t>
            </w:r>
          </w:p>
        </w:tc>
      </w:tr>
    </w:tbl>
    <w:p>
      <w:pPr>
        <w:keepNext w:val="true"/>
        <w:keepLines w:val="true"/>
        <w:spacing w:after="0"/>
        <w:ind w:left="360"/>
        <w:jc w:val="left"/>
      </w:pPr>
      <w:r>
        <w:rPr>
          <w:rFonts w:ascii="Times New Roman"/>
          <w:b w:val="false"/>
          <w:i w:val="false"/>
          <w:color w:val="000000"/>
          <w:sz w:val="24"/>
        </w:rPr>
        <w:t>Which type of rate structure does this tax 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Proportionate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Dual-bracket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Vervet County levies a real property tax based on the following schedule.</w:t>
      </w:r>
      <w:r>
        <w:rPr>
          <w:rFonts w:ascii="Times New Roman"/>
          <w:sz w:val="24"/>
        </w:rPr>
      </w:r>
    </w:p>
    <w:tbl>
      <w:tblPr>
        <w:jc w:val="left"/>
        <w:tblInd w:w="360" w:type="dxa"/>
        <w:tblLayout w:type="autofit"/>
      </w:tblPr>
      <w:tr>
        <w:trPr>
          <w:trHeight w:val="60" w:hRule="atLeast"/>
          <w:cantSplit w:val="true"/>
        </w:trPr>
        <w:tc>
          <w:tcPr>
            <w:tcW w:w="2352"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Rate</w:t>
            </w:r>
          </w:p>
        </w:tc>
        <w:tc>
          <w:tcPr>
            <w:tcW w:w="5448" w:type="dxa"/>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Assessed value</w:t>
            </w:r>
          </w:p>
        </w:tc>
      </w:tr>
      <w:tr>
        <w:trPr>
          <w:trHeight w:val="60" w:hRule="atLeast"/>
          <w:cantSplit w:val="true"/>
        </w:trPr>
        <w:tc>
          <w:tcPr>
            <w:tcW w:w="2352"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3%</w:t>
            </w:r>
          </w:p>
        </w:tc>
        <w:tc>
          <w:tcPr>
            <w:tcW w:w="5448"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$-0- to $250,000</w:t>
            </w:r>
          </w:p>
        </w:tc>
      </w:tr>
      <w:tr>
        <w:trPr>
          <w:trHeight w:val="60" w:hRule="atLeast"/>
          <w:cantSplit w:val="true"/>
        </w:trPr>
        <w:tc>
          <w:tcPr>
            <w:tcW w:w="2352" w:type="dxa"/>
            <w:tcBorders/>
            <w:tcMar>
              <w:top w:w="30" w:type="dxa"/>
              <w:left w:w="30" w:type="dxa"/>
              <w:bottom w:w="30" w:type="dxa"/>
              <w:right w:w="525" w:type="dxa"/>
            </w:tcMar>
            <w:vAlign w:val="top"/>
          </w:tcPr>
          <w:p>
            <w:pPr>
              <w:keepNext w:val="true"/>
              <w:keepLines w:val="true"/>
              <w:spacing w:after="0"/>
              <w:ind w:left="0"/>
              <w:jc w:val="right"/>
            </w:pPr>
            <w:r>
              <w:rPr>
                <w:rFonts w:ascii="Courier New" w:hAnsi="Courier New"/>
                <w:b/>
                <w:i w:val="false"/>
                <w:color w:val="000000"/>
                <w:sz w:val="22"/>
              </w:rPr>
              <w:t>+ 1%</w:t>
            </w:r>
          </w:p>
        </w:tc>
        <w:tc>
          <w:tcPr>
            <w:tcW w:w="5448" w:type="dxa"/>
            <w:tcBorders/>
            <w:tcMar>
              <w:top w:w="30" w:type="dxa"/>
              <w:left w:w="30" w:type="dxa"/>
              <w:bottom w:w="30" w:type="dxa"/>
              <w:right w:w="750" w:type="dxa"/>
            </w:tcMar>
            <w:vAlign w:val="top"/>
          </w:tcPr>
          <w:p>
            <w:pPr>
              <w:keepNext w:val="true"/>
              <w:keepLines w:val="true"/>
              <w:spacing w:after="0"/>
              <w:ind w:left="0"/>
              <w:jc w:val="right"/>
            </w:pPr>
            <w:r>
              <w:rPr>
                <w:rFonts w:ascii="Courier New" w:hAnsi="Courier New"/>
                <w:b w:val="false"/>
                <w:i w:val="false"/>
                <w:color w:val="000000"/>
                <w:sz w:val="22"/>
              </w:rPr>
              <w:t>$250,001 and above</w:t>
            </w:r>
          </w:p>
        </w:tc>
      </w:tr>
    </w:tbl>
    <w:p>
      <w:pPr>
        <w:keepNext w:val="true"/>
        <w:keepLines w:val="true"/>
        <w:spacing w:after="0"/>
        <w:ind w:left="360"/>
        <w:jc w:val="left"/>
      </w:pPr>
      <w:r>
        <w:rPr>
          <w:rFonts w:ascii="Times New Roman"/>
          <w:b w:val="false"/>
          <w:i w:val="false"/>
          <w:color w:val="000000"/>
          <w:sz w:val="24"/>
        </w:rPr>
        <w:t>Bilex Incorporated owns real property valued at $629,800. Compute Bilex's tax on this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$13,798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Vervet County levies a real property tax based on the following schedule.</w:t>
      </w:r>
      <w:r>
        <w:rPr>
          <w:rFonts w:ascii="Times New Roman"/>
          <w:sz w:val="24"/>
        </w:rPr>
      </w:r>
    </w:p>
    <w:tbl>
      <w:tblPr>
        <w:jc w:val="left"/>
        <w:tblInd w:w="360" w:type="dxa"/>
        <w:tblLayout w:type="autofit"/>
      </w:tblPr>
      <w:tr>
        <w:trPr>
          <w:cantSplit w:val="true"/>
        </w:trPr>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Assessed value</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3%</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$250,000</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$250,001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Clem owns real property valued at $112,500, the average tax rate is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Barker owns real property valued at $455,650, the average tax rate is 2.1%.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Lumley owns real property valued at $750,000, the marginal tax rate is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tax rate structures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 rate structures are illegal in the United States.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with a graduated rate structure must be either regressive or progressive.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proportionate rate structure is the only structure resulting in vertical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2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2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Which type of rate structure does this tax 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Proportionate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Multi-bracket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a progressive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 rates increase as the tax base increases.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 rates reflect the theory of the declining marginal utility of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federal income tax has always used a progressive rate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Progressive rates result in greater vertical equity than a proportionate rate.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a proportionate income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theoretic justification for a proportionate rate is its superior potential for wealth redistribution.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proportionate rate structure, the marginal rate equals the average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proportionate rate structure, the taxpayer with the least income pays the same percentage of income to the government as the taxpayer with the most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income tax rate structures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progressive rate structure, the marginal rate and the average rate are equal.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regressive rate structure, the average rate for low-income individuals is more than the average rate for high-income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either a regressive, proportionate, or progressive rate structure, high-income taxpayers pay more dollars of tax than low-income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theory, a progressive rate structure results in equal economic sacrifice across taxpayers.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a regressive tax rate structure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tax rate structure is justified by the tax policy of distributive justice.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regressive rate structure is justified by the theory of the declining marginal utility of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a regressive rate structure, the average tax rate for high-income taxpayers is less than the marginal tax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statements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Mr. Coen has $78,000 taxable income. Compute the tax on this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$4,740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$8,740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Ms. Owen has $314,000 taxable income. Compute the tax on this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$29,680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$28,180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$37,680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Mrs. Hall's taxable income is $227,000, the average tax rate is 12%.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Poe's taxable income is $41,200, the marginal tax rate is 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Kaye's taxable income is $63,800, the marginal tax rate is 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Jurisdiction M imposes an individual income tax based on the following schedule.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$200,000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$200,001 and above</w:t>
            </w:r>
          </w:p>
        </w:tc>
      </w:tr>
    </w:tbl>
    <w:p>
      <w:pPr>
        <w:keepNext w:val="true"/>
        <w:keepLines w:val="true"/>
        <w:spacing w:after="0"/>
        <w:ind w:left="360"/>
        <w:jc w:val="left"/>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Lui's taxable income is $33,400, the average tax rate is 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Mr. Bell's taxable income is $519,900, the marginal tax rate is 12%.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Ms. Vern's taxable income is $188,000, the average tax rate is 7.2%.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Congress originally enacted the federal estate and gift taxes to improve: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Distributive justice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Economic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Vertical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Horizontal equity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tax policies would increase the redistribution of wealth across society?</w:t>
      </w:r>
    </w:p>
    <w:p>
      <w:pPr>
        <w:pStyle w:val="ListParagraph"/>
        <w:keepNext w:val="true"/>
        <w:keepLines w:val="true"/>
        <w:numPr>
          <w:ilvl w:val="7"/>
          <w:numId w:val="2"/>
        </w:numPr>
        <w:spacing w:after="0"/>
        <w:jc w:val="left"/>
      </w:pPr>
      <w:r>
        <w:rPr>
          <w:rFonts w:ascii="Times New Roman"/>
          <w:b w:val="false"/>
          <w:i w:val="false"/>
          <w:color w:val="000000"/>
          <w:sz w:val="24"/>
        </w:rPr>
        <w:t>Repealing the federal estate and gift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Increasing the highest marginal income tax rate by 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Replacing the progressive income tax rate structure with a flat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Replacing the income tax with a national sales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concerning the standard of fairness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People who believe that a tax is unfair are more likely to evade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People believe that the federal income tax is unfair because it contains preferences available only to wealthy individuals.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public perception that the federal income tax is unfair has decreased in recent decades.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Congress plans to amend the federal income tax to provide a deduction for the first $2,400 of residential rent paid by families with incomes below the federal poverty level.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simplicity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convenience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Congress plans to amend the federal individual income tax to eliminate the deductions for medical care, charitable contributions, and home mortgage interest.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will reduce the complexity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will increase the horizontal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will increase the neutrality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amendment will reduce the complexity of the tax and will increase the neutrality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Congress plans to amend the federal income tax to provide a deduction for the cost of energy-efficient fluorescent light bulbs.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simplicity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convenience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Congress recently amended the tax law to make it easier for individuals to file their income tax returns electronically (online).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efficiency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equity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simplicity of the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amendment is intended to improve the convenience of the tax.</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Mr. and Mrs. Boln earn $63,000 annual income and pay 20% in state and federal income tax. If tax rates increase so that the couple's annual rate increases to 25%, how much additional income must they earn to maintain their after-tax standard of living?</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Mr. Ohno owns and operates a part-time service business that generates $80,000 annual taxable income. Assume that the federal tax rate on this income is 17%. Because of recent legislation, this rate will increase to 25% next year.</w:t>
      </w:r>
      <w:r>
        <w:rPr>
          <w:rFonts w:ascii="Times New Roman"/>
          <w:sz w:val="24"/>
        </w:rPr>
      </w:r>
    </w:p>
    <w:p>
      <w:pPr>
        <w:pStyle w:val="ListParagraph"/>
        <w:keepNext w:val="true"/>
        <w:keepLines w:val="true"/>
        <w:numPr>
          <w:ilvl w:val="5"/>
          <w:numId w:val="2"/>
        </w:numPr>
        <w:spacing w:after="0"/>
        <w:jc w:val="left"/>
      </w:pPr>
      <w:r>
        <w:rPr>
          <w:rFonts w:ascii="Times New Roman"/>
          <w:sz w:val="24"/>
        </w:rPr>
        <w:t>Based on a static forecast, how much additional revenue will the federal government collect from Mr. Ohno next year?</w:t>
      </w:r>
    </w:p>
    <w:p>
      <w:pPr>
        <w:pStyle w:val="ListParagraph"/>
        <w:keepNext w:val="true"/>
        <w:keepLines w:val="true"/>
        <w:numPr>
          <w:ilvl w:val="5"/>
          <w:numId w:val="2"/>
        </w:numPr>
        <w:spacing w:after="0"/>
        <w:jc w:val="left"/>
      </w:pPr>
      <w:r>
        <w:rPr>
          <w:rFonts w:ascii="Times New Roman"/>
          <w:sz w:val="24"/>
        </w:rPr>
        <w:t>How much additional revenue will the federal government collect if Mr. Ohno decides to work fewer hours and consequently earns only $50,000 next year?</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City of Willford levies a flat 7% tax on individual income in excess of $55,000. Individuals who earn $55,000 or less pay no income tax.</w:t>
      </w:r>
      <w:r>
        <w:rPr>
          <w:rFonts w:ascii="Times New Roman"/>
          <w:sz w:val="24"/>
        </w:rPr>
      </w:r>
    </w:p>
    <w:p>
      <w:pPr>
        <w:pStyle w:val="ListParagraph"/>
        <w:keepNext w:val="true"/>
        <w:keepLines w:val="true"/>
        <w:numPr>
          <w:ilvl w:val="5"/>
          <w:numId w:val="2"/>
        </w:numPr>
        <w:spacing w:after="0"/>
        <w:jc w:val="left"/>
      </w:pPr>
      <w:r>
        <w:rPr>
          <w:rFonts w:ascii="Times New Roman"/>
          <w:sz w:val="24"/>
        </w:rPr>
        <w:t>Ms. Vello earned $127,200 income this year. Compute city income tax and determine average tax rate.</w:t>
      </w:r>
    </w:p>
    <w:p>
      <w:pPr>
        <w:pStyle w:val="ListParagraph"/>
        <w:keepNext w:val="true"/>
        <w:keepLines w:val="true"/>
        <w:numPr>
          <w:ilvl w:val="5"/>
          <w:numId w:val="2"/>
        </w:numPr>
        <w:spacing w:after="0"/>
        <w:jc w:val="left"/>
      </w:pPr>
      <w:r>
        <w:rPr>
          <w:rFonts w:ascii="Times New Roman"/>
          <w:sz w:val="24"/>
        </w:rPr>
        <w:t>Mr. Sui earned $68,900 income this year. Compute city income tax and determine his average tax rate.</w:t>
      </w:r>
    </w:p>
    <w:p>
      <w:pPr>
        <w:pStyle w:val="ListParagraph"/>
        <w:keepNext w:val="true"/>
        <w:keepLines w:val="true"/>
        <w:numPr>
          <w:ilvl w:val="5"/>
          <w:numId w:val="2"/>
        </w:numPr>
        <w:spacing w:after="0"/>
        <w:jc w:val="left"/>
      </w:pPr>
      <w:r>
        <w:rPr>
          <w:rFonts w:ascii="Times New Roman"/>
          <w:sz w:val="24"/>
        </w:rPr>
        <w:t>Does Willford have a proportionate, progressive, or regressive tax rate structure?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country of Valhalla levies an income tax with the following rate structure.</w:t>
      </w:r>
      <w:r>
        <w:rPr>
          <w:rFonts w:ascii="Times New Roman"/>
          <w:sz w:val="24"/>
        </w:rPr>
      </w:r>
    </w:p>
    <w:tbl>
      <w:tblPr>
        <w:jc w:val="left"/>
        <w:tblInd w:w="360" w:type="dxa"/>
        <w:tblLayout w:type="autofit"/>
      </w:tblP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Income bracket</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$-0- to $50,000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+ 10%</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$50,001 to $150,000</w:t>
            </w:r>
          </w:p>
        </w:tc>
      </w:tr>
      <w:tr>
        <w:trPr>
          <w:cantSplit w:val="true"/>
        </w:trPr>
        <w:tc>
          <w:tcPr>
            <w:tcW w:w="2000" w:type="dxa"/>
            <w:tcBorders/>
            <w:tcMar>
              <w:top w:w="15" w:type="dxa"/>
              <w:left w:w="15" w:type="dxa"/>
              <w:bottom w:w="15" w:type="dxa"/>
              <w:right w:w="525" w:type="dxa"/>
            </w:tcMar>
            <w:vAlign w:val="top"/>
          </w:tcPr>
          <w:p>
            <w:pPr>
              <w:keepNext w:val="true"/>
              <w:keepLines w:val="true"/>
              <w:spacing w:after="0"/>
              <w:ind w:left="0"/>
              <w:jc w:val="right"/>
            </w:pPr>
            <w:r>
              <w:rPr>
                <w:rFonts w:ascii="Courier New" w:hAnsi="Courier New"/>
                <w:b/>
                <w:i w:val="false"/>
                <w:color w:val="000000"/>
                <w:sz w:val="22"/>
              </w:rPr>
              <w:t>+ 20%</w:t>
            </w:r>
          </w:p>
        </w:tc>
        <w:tc>
          <w:tcPr>
            <w:tcW w:w="500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$150,001 and above</w:t>
            </w:r>
          </w:p>
        </w:tc>
      </w:tr>
    </w:tbl>
    <w:p>
      <w:pPr>
        <w:pStyle w:val="ListParagraph"/>
        <w:keepNext w:val="true"/>
        <w:keepLines w:val="true"/>
        <w:numPr>
          <w:ilvl w:val="5"/>
          <w:numId w:val="2"/>
        </w:numPr>
        <w:spacing w:after="0"/>
        <w:jc w:val="left"/>
      </w:pPr>
      <w:r>
        <w:rPr>
          <w:rFonts w:ascii="Times New Roman"/>
          <w:sz w:val="24"/>
        </w:rPr>
        <w:t>Mrs. Greene's annual income is $125,000. Compute the tax on this income, the average tax rate, and the marginal tax rate.</w:t>
      </w:r>
    </w:p>
    <w:p>
      <w:pPr>
        <w:pStyle w:val="ListParagraph"/>
        <w:keepNext w:val="true"/>
        <w:keepLines w:val="true"/>
        <w:numPr>
          <w:ilvl w:val="5"/>
          <w:numId w:val="2"/>
        </w:numPr>
        <w:spacing w:after="0"/>
        <w:jc w:val="left"/>
      </w:pPr>
      <w:r>
        <w:rPr>
          <w:rFonts w:ascii="Times New Roman"/>
          <w:sz w:val="24"/>
        </w:rPr>
        <w:t>Mr. Chen's annual income is $220,000. Compute the tax on this income, the average tax rate, and the marginal tax rate.</w:t>
      </w:r>
    </w:p>
    <w:p>
      <w:pPr>
        <w:pStyle w:val="ListParagraph"/>
        <w:keepNext w:val="true"/>
        <w:keepLines w:val="true"/>
        <w:numPr>
          <w:ilvl w:val="5"/>
          <w:numId w:val="2"/>
        </w:numPr>
        <w:spacing w:after="0"/>
        <w:jc w:val="left"/>
      </w:pPr>
      <w:r>
        <w:rPr>
          <w:rFonts w:ascii="Times New Roman"/>
          <w:sz w:val="24"/>
        </w:rPr>
        <w:t>Does Valhalla have a proportionate, progressive, or regressive tax rate structure?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02 Test Bank - Static</w:t>
        <w:br/>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